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sz w:val="36"/>
        </w:rPr>
        <w:t>Non-Invasive Screening of Fatty Liver Disease Using Multimodal Tongue Biometric Feature Engineering and Stacking Ensemble Learning</w:t>
      </w:r>
    </w:p>
    <w:p>
      <w:pPr>
        <w:spacing w:after="40"/>
        <w:jc w:val="center"/>
      </w:pPr>
      <w:r>
        <w:rPr>
          <w:rFonts w:ascii="Times New Roman" w:hAnsi="Times New Roman"/>
          <w:b/>
          <w:sz w:val="20"/>
        </w:rPr>
        <w:t>Author Team: Department of Computer Science &amp; Engineering</w:t>
      </w:r>
    </w:p>
    <w:p>
      <w:pPr>
        <w:spacing w:after="240"/>
        <w:jc w:val="center"/>
      </w:pPr>
      <w:r>
        <w:rPr>
          <w:rFonts w:ascii="Times New Roman" w:hAnsi="Times New Roman"/>
          <w:i/>
          <w:sz w:val="18"/>
        </w:rPr>
        <w:t>Project FLD-Screen, Automated Medical Diagnostics Laboratory, 2026</w:t>
      </w:r>
    </w:p>
    <w:p>
      <w:pPr>
        <w:spacing w:after="80" w:line="276" w:lineRule="auto"/>
        <w:jc w:val="both"/>
      </w:pPr>
      <w:r>
        <w:rPr>
          <w:rFonts w:ascii="Times New Roman" w:hAnsi="Times New Roman"/>
          <w:b/>
          <w:sz w:val="19"/>
        </w:rPr>
        <w:t xml:space="preserve">Abstract— </w:t>
      </w:r>
      <w:r>
        <w:rPr>
          <w:rFonts w:ascii="Times New Roman" w:hAnsi="Times New Roman"/>
          <w:i/>
          <w:sz w:val="19"/>
        </w:rPr>
        <w:t>Non-Alcoholic Fatty Liver Disease (NAFLD), recently reclassified as Metabolic Dysfunction-Associated Steatohepatitis (MASH), constitutes a rapidly expanding global health burden affecting approximately 25% to 30% of the worldwide adult population. The current clinical reference standards—percutaneous needle liver biopsy and transient elastography (FibroScan)—exhibit severe constraints including invasiveness, procedural risks, sampling variability, and prohibitive healthcare costs. In this investigation, we introduce FLD-Screen, an intelligent, non-invasive, multimodal diagnostic framework that integrates digital tongue image morphology with standard non-invasive physiological biomarkers for early detection of fatty liver disease. Using a large cohort of 5,717 clinically validated patient examinations, we engineered a comprehensive 174-dimensional multimodal biomarker representation encompassing color moments across multiple color spaces (RGB, CIE-L*a*b*, HSV), multi-scale Gray-Level Co-occurrence Matrix (GLCM) texture metrics, Gabor filter energy banks, tongue coating thickness and greasiness indices, Hu invariant moments, and standard physiological indicators (Age, Gender, BMI, SBP, DBP). We systematically developed, optimized, and cross-validated six distinct machine learning architectures: regularized Logistic Regression, Support Vector Machines (SVM), Random Forest, Gradient Boosting, eXtreme Gradient Boosting (XGBoost), and a Heterogeneous Stacking Ensemble. On an unseen test split of 858 subjects, the Stacking Ensemble achieved state-of-the-art diagnostic efficacy with an Accuracy of 80.65%, a weighted F1-Score of 80.42%, and an Area Under the Receiver Operating Characteristic curve (ROC-AUC) of 0.8801. Comprehensive feature ablation and SHAP (SHapley Additive exPlanations) analyses revealed that while physiological indices provide strong baseline discrimination, tongue biomarkers contribute critical non-linear phenotypic evidence that elevates overall diagnostic specificity. This study establishes a clinically viable, non-invasive screening paradigm suitable for rapid deployment in resource-constrained healthcare environments.</w:t>
      </w:r>
    </w:p>
    <w:p>
      <w:pPr>
        <w:spacing w:after="280"/>
        <w:jc w:val="both"/>
      </w:pPr>
      <w:r>
        <w:rPr>
          <w:rFonts w:ascii="Times New Roman" w:hAnsi="Times New Roman"/>
          <w:b/>
          <w:sz w:val="19"/>
        </w:rPr>
        <w:t xml:space="preserve">Index Terms— </w:t>
      </w:r>
      <w:r>
        <w:rPr>
          <w:rFonts w:ascii="Times New Roman" w:hAnsi="Times New Roman"/>
          <w:sz w:val="19"/>
        </w:rPr>
        <w:t>Fatty Liver Disease, Tongue Morphology, Multimodal Fusion, Biomarker Engineering, Stacking Ensemble, Computer Vision, Explainable AI (XAI), SHAP.</w:t>
      </w:r>
    </w:p>
    <w:p>
      <w:pPr>
        <w:sectPr>
          <w:pgSz w:w="12240" w:h="15840"/>
          <w:pgMar w:top="1080" w:right="1080" w:bottom="1080" w:left="1080" w:header="720" w:footer="720" w:gutter="0"/>
          <w:cols w:space="720"/>
          <w:docGrid w:linePitch="360"/>
        </w:sectPr>
      </w:pPr>
    </w:p>
    <w:p>
      <w:pPr>
        <w:spacing w:before="220" w:after="60"/>
        <w:jc w:val="center"/>
      </w:pPr>
      <w:r>
        <w:rPr>
          <w:rFonts w:ascii="Times New Roman" w:hAnsi="Times New Roman"/>
          <w:b/>
          <w:sz w:val="20"/>
        </w:rPr>
        <w:t>I. INTRODUCTION</w:t>
      </w:r>
    </w:p>
    <w:p>
      <w:pPr>
        <w:spacing w:before="0" w:after="60" w:line="252" w:lineRule="auto"/>
        <w:jc w:val="both"/>
      </w:pPr>
      <w:r>
        <w:rPr>
          <w:rFonts w:ascii="Times New Roman" w:hAnsi="Times New Roman"/>
          <w:sz w:val="19"/>
        </w:rPr>
        <w:t>Non-Alcoholic Fatty Liver Disease (NAFLD), and its inflammatory progression Metabolic Dysfunction-Associated Steatohepatitis (MASH), has become the predominant cause of chronic liver disease worldwide [1]. Left untreated, progressive hepatic steatosis can culminate in fibrosis, cirrhosis, and hepatocellular carcinoma [2]. Despite its high prevalence, early-stage hepatic steatosis remains largely asymptomatic, creating an urgent clinical imperative for reliable, community-scale screening methodologies.</w:t>
      </w:r>
    </w:p>
    <w:p>
      <w:pPr>
        <w:spacing w:before="0" w:after="60" w:line="252" w:lineRule="auto"/>
        <w:jc w:val="both"/>
      </w:pPr>
      <w:r>
        <w:rPr>
          <w:rFonts w:ascii="Times New Roman" w:hAnsi="Times New Roman"/>
          <w:sz w:val="19"/>
        </w:rPr>
        <w:t>Histopathological examination via percutaneous liver biopsy remains the definitive clinical reference standard; however, biopsy is an invasive procedure fraught with potential complications, including severe internal hemorrhage, localized organ perforation, and significant sampling error due to heterogeneous fat distribution [3]. Non-invasive imaging alternatives such as Magnetic Resonance Spectroscopy (MRS) and FibroScan offer high accuracy but require specialized infrastructure and certified clinical operators, rendering them inaccessible for widespread primary care triaging [4]. Routine serum biomarker panels (such as AST/ALT ratios and the Fatty Liver Index) exhibit high false-negative rates in early asymptomatic steatosis [5].</w:t>
      </w:r>
    </w:p>
    <w:p>
      <w:pPr>
        <w:spacing w:before="0" w:after="60" w:line="252" w:lineRule="auto"/>
        <w:jc w:val="both"/>
      </w:pPr>
      <w:r>
        <w:rPr>
          <w:rFonts w:ascii="Times New Roman" w:hAnsi="Times New Roman"/>
          <w:sz w:val="19"/>
        </w:rPr>
        <w:t>Simultaneously, computerized tongue inspection has emerged as a promising diagnostic modality within modern non-invasive medical cybernetics. Rooted in both clinical dermatological correlation and traditional diagnostic paradigms, tongue phenotypic characteristics—including body coloration, coating texture, hydration, and sublingual vascularization—reflect systemic metabolic homeostasis and hepatic circulation [6], [7]. Recent clinical investigations demonstrate that hepatic fat accumulation, microvascular congestion, and chronic low-grade inflammation induce perceptible alterations in the lingual mucosal epithelium, producing distinct yellow-greasy coating formations and altered papillary texture [8].</w:t>
      </w:r>
    </w:p>
    <w:p>
      <w:pPr>
        <w:spacing w:before="0" w:after="60" w:line="252" w:lineRule="auto"/>
        <w:jc w:val="both"/>
      </w:pPr>
      <w:r>
        <w:rPr>
          <w:rFonts w:ascii="Times New Roman" w:hAnsi="Times New Roman"/>
          <w:sz w:val="19"/>
        </w:rPr>
        <w:t>Motivated by these clinical insights, this paper proposes FLD-Screen: a multimodal diagnostic framework that couples high-dimensional digital tongue biomarkers with non-invasive physiological measurements. The primary contributions of this paper are fourfold:</w:t>
      </w:r>
    </w:p>
    <w:p>
      <w:pPr>
        <w:spacing w:before="0" w:after="60" w:line="252" w:lineRule="auto"/>
        <w:jc w:val="both"/>
      </w:pPr>
      <w:r>
        <w:rPr>
          <w:rFonts w:ascii="Times New Roman" w:hAnsi="Times New Roman"/>
          <w:sz w:val="19"/>
        </w:rPr>
        <w:t>1) Multimodal Feature Formulation: We develop a 174-dimensional feature extraction architecture capturing lingual color distributions across CIE-L*a*b* and HSV spaces, multi-scale GLCM texture statistics, Gabor spatial-frequency responses, coating thickness-to-area ratios, and Hu moments, fused with physiological indicators.</w:t>
      </w:r>
    </w:p>
    <w:p>
      <w:pPr>
        <w:spacing w:before="0" w:after="60" w:line="252" w:lineRule="auto"/>
        <w:jc w:val="both"/>
      </w:pPr>
      <w:r>
        <w:rPr>
          <w:rFonts w:ascii="Times New Roman" w:hAnsi="Times New Roman"/>
          <w:sz w:val="19"/>
        </w:rPr>
        <w:t>2) Rigorous Comparative Evaluation: Using 5,717 clinically validated cases, we benchmark six machine learning classifiers under stratified five-fold cross-validation and independent test partitioning.</w:t>
      </w:r>
    </w:p>
    <w:p>
      <w:pPr>
        <w:spacing w:before="0" w:after="60" w:line="252" w:lineRule="auto"/>
        <w:jc w:val="both"/>
      </w:pPr>
      <w:r>
        <w:rPr>
          <w:rFonts w:ascii="Times New Roman" w:hAnsi="Times New Roman"/>
          <w:sz w:val="19"/>
        </w:rPr>
        <w:t>3) Heterogeneous Stacking Ensemble: We construct an out-of-fold stacking meta-learner that achieves superior generalization (80.65% accuracy, 0.8801 ROC-AUC).</w:t>
      </w:r>
    </w:p>
    <w:p>
      <w:pPr>
        <w:spacing w:before="0" w:after="60" w:line="252" w:lineRule="auto"/>
        <w:jc w:val="both"/>
      </w:pPr>
      <w:r>
        <w:rPr>
          <w:rFonts w:ascii="Times New Roman" w:hAnsi="Times New Roman"/>
          <w:sz w:val="19"/>
        </w:rPr>
        <w:t>4) Interpretable Clinical Explainability: We conduct rigorous ablation studies and deploy TreeSHAP game-theoretic explainability to validate feature contributions against established clinical pathophysiological mechanisms.</w:t>
      </w:r>
    </w:p>
    <w:p>
      <w:pPr>
        <w:spacing w:before="220" w:after="60"/>
        <w:jc w:val="center"/>
      </w:pPr>
      <w:r>
        <w:rPr>
          <w:rFonts w:ascii="Times New Roman" w:hAnsi="Times New Roman"/>
          <w:b/>
          <w:sz w:val="20"/>
        </w:rPr>
        <w:t>II. RELATED WORK</w:t>
      </w:r>
    </w:p>
    <w:p>
      <w:pPr>
        <w:spacing w:before="0" w:after="60" w:line="252" w:lineRule="auto"/>
        <w:jc w:val="both"/>
      </w:pPr>
      <w:r>
        <w:rPr>
          <w:rFonts w:ascii="Times New Roman" w:hAnsi="Times New Roman"/>
          <w:sz w:val="19"/>
        </w:rPr>
        <w:t>Computer-aided tongue diagnosis has evolved significantly from early manual segmentation pipelines to automated deep feature learning. Foundational investigations by Zhang et al. [9] established digital color calibration and tongue boundary extraction protocols. Subsequent studies focused on handcrafted chromatic and textural descriptors, utilizing Gray-Level Co-occurrence Matrices and Local Binary Patterns (LBP) to diagnose syndromes including diabetes and gastritis [10], [11].</w:t>
      </w:r>
    </w:p>
    <w:p>
      <w:pPr>
        <w:spacing w:before="0" w:after="60" w:line="252" w:lineRule="auto"/>
        <w:jc w:val="both"/>
      </w:pPr>
      <w:r>
        <w:rPr>
          <w:rFonts w:ascii="Times New Roman" w:hAnsi="Times New Roman"/>
          <w:sz w:val="19"/>
        </w:rPr>
        <w:t>In the domain of hepatic pathology, Wang et al. [12] demonstrated that patients with diagnosed NAFLD present statistically significant shifts in tongue coating color towards yellowish hues and elevated thickness indices, attributed to oral microbial alterations and mucosal metabolic changes. However, existing works in tongue diagnostics frequently suffer from small sample sizes (N &lt; 500), lack of external generalization, and complete omission of clinical physiological indicators [13].</w:t>
      </w:r>
    </w:p>
    <w:p>
      <w:pPr>
        <w:spacing w:before="0" w:after="60" w:line="252" w:lineRule="auto"/>
        <w:jc w:val="both"/>
      </w:pPr>
      <w:r>
        <w:rPr>
          <w:rFonts w:ascii="Times New Roman" w:hAnsi="Times New Roman"/>
          <w:sz w:val="19"/>
        </w:rPr>
        <w:t>Conversely, clinical predictive models relying exclusively on tabular electronic health records (EHR) frequently achieve moderate accuracy but plateau due to missing morphological phenotype information [14]. Stacking ensemble learning [15] has demonstrated strong capacity in biomedical applications by combining heterogeneous learning biases (e.g., maximum margin hyperplanes, bagging, and gradient boosted decision trees). Building upon these paradigms, our study bridges the gap between tabular clinical indicators and high-resolution lingual computer vision on a large-scale cohort of 5,717 subjects.</w:t>
      </w:r>
    </w:p>
    <w:p>
      <w:pPr>
        <w:spacing w:before="220" w:after="60"/>
        <w:jc w:val="center"/>
      </w:pPr>
      <w:r>
        <w:rPr>
          <w:rFonts w:ascii="Times New Roman" w:hAnsi="Times New Roman"/>
          <w:b/>
          <w:sz w:val="20"/>
        </w:rPr>
        <w:t>III. PROPOSED MULTIMODAL SYSTEM METHODOLOGY</w:t>
      </w:r>
    </w:p>
    <w:p>
      <w:pPr>
        <w:spacing w:before="0" w:after="60" w:line="252" w:lineRule="auto"/>
        <w:jc w:val="both"/>
      </w:pPr>
      <w:r>
        <w:rPr>
          <w:rFonts w:ascii="Times New Roman" w:hAnsi="Times New Roman"/>
          <w:sz w:val="19"/>
        </w:rPr>
        <w:t>The overall system workflow of FLD-Screen is illustrated in Fig. 1. The pipeline comprises four principal stages: (1) multimodal data acquisition and quality control, (2) image preprocessing and color-space transformation, (3) high-dimensional biomarker extraction, and (4) feature normalization.</w:t>
      </w:r>
    </w:p>
    <w:p>
      <w:pPr>
        <w:spacing w:before="120" w:after="40"/>
        <w:jc w:val="center"/>
      </w:pPr>
      <w:r>
        <w:drawing>
          <wp:inline xmlns:a="http://schemas.openxmlformats.org/drawingml/2006/main" xmlns:pic="http://schemas.openxmlformats.org/drawingml/2006/picture">
            <wp:extent cx="3017520" cy="1493520"/>
            <wp:docPr id="1" name="Picture 1"/>
            <wp:cNvGraphicFramePr>
              <a:graphicFrameLocks noChangeAspect="1"/>
            </wp:cNvGraphicFramePr>
            <a:graphic>
              <a:graphicData uri="http://schemas.openxmlformats.org/drawingml/2006/picture">
                <pic:pic>
                  <pic:nvPicPr>
                    <pic:cNvPr id="0" name="ml_pipeline_architecture.png"/>
                    <pic:cNvPicPr/>
                  </pic:nvPicPr>
                  <pic:blipFill>
                    <a:blip r:embed="rId9"/>
                    <a:stretch>
                      <a:fillRect/>
                    </a:stretch>
                  </pic:blipFill>
                  <pic:spPr>
                    <a:xfrm>
                      <a:off x="0" y="0"/>
                      <a:ext cx="3017520" cy="1493520"/>
                    </a:xfrm>
                    <a:prstGeom prst="rect"/>
                  </pic:spPr>
                </pic:pic>
              </a:graphicData>
            </a:graphic>
          </wp:inline>
        </w:drawing>
      </w:r>
    </w:p>
    <w:p>
      <w:pPr>
        <w:spacing w:before="40" w:after="140"/>
        <w:jc w:val="center"/>
      </w:pPr>
      <w:r>
        <w:rPr>
          <w:rFonts w:ascii="Times New Roman" w:hAnsi="Times New Roman"/>
          <w:b/>
          <w:sz w:val="16"/>
        </w:rPr>
        <w:t>Fig. 1. Architectural flowchart of the proposed FLD-Screen multimodal diagnostic framework.</w:t>
      </w:r>
    </w:p>
    <w:p>
      <w:pPr>
        <w:spacing w:before="140" w:after="40"/>
        <w:jc w:val="left"/>
      </w:pPr>
      <w:r>
        <w:rPr>
          <w:rFonts w:ascii="Times New Roman" w:hAnsi="Times New Roman"/>
          <w:b/>
          <w:i/>
          <w:sz w:val="19"/>
        </w:rPr>
        <w:t>A. Dataset Cohort &amp; Clinical Annotation</w:t>
      </w:r>
    </w:p>
    <w:p>
      <w:pPr>
        <w:spacing w:before="0" w:after="60" w:line="252" w:lineRule="auto"/>
        <w:jc w:val="both"/>
      </w:pPr>
      <w:r>
        <w:rPr>
          <w:rFonts w:ascii="Times New Roman" w:hAnsi="Times New Roman"/>
          <w:sz w:val="19"/>
        </w:rPr>
        <w:t>We utilized the MFF-TDF benchmark dataset [16], comprising 5,717 standardized patient examinations. Each patient record includes a standardized high-resolution digital tongue image captured under calibrated clinical lighting conditions, paired with seven physiological and anthropometric parameters: Gender, Age (years), Height (cm), Waist Circumference (cm), Hipline Circumference (cm), Weight (kg), Systolic Blood Pressure (SBP, mmHg), and Diastolic Blood Pressure (DBP, mmHg). The cohort exhibits a realistic clinical class distribution, as illustrated in Fig. 2.</w:t>
      </w:r>
    </w:p>
    <w:p>
      <w:pPr>
        <w:spacing w:before="120" w:after="40"/>
        <w:jc w:val="center"/>
      </w:pPr>
      <w:r>
        <w:drawing>
          <wp:inline xmlns:a="http://schemas.openxmlformats.org/drawingml/2006/main" xmlns:pic="http://schemas.openxmlformats.org/drawingml/2006/picture">
            <wp:extent cx="3017520" cy="2263140"/>
            <wp:docPr id="2" name="Picture 2"/>
            <wp:cNvGraphicFramePr>
              <a:graphicFrameLocks noChangeAspect="1"/>
            </wp:cNvGraphicFramePr>
            <a:graphic>
              <a:graphicData uri="http://schemas.openxmlformats.org/drawingml/2006/picture">
                <pic:pic>
                  <pic:nvPicPr>
                    <pic:cNvPr id="0" name="class_distribution.png"/>
                    <pic:cNvPicPr/>
                  </pic:nvPicPr>
                  <pic:blipFill>
                    <a:blip r:embed="rId10"/>
                    <a:stretch>
                      <a:fillRect/>
                    </a:stretch>
                  </pic:blipFill>
                  <pic:spPr>
                    <a:xfrm>
                      <a:off x="0" y="0"/>
                      <a:ext cx="3017520" cy="2263140"/>
                    </a:xfrm>
                    <a:prstGeom prst="rect"/>
                  </pic:spPr>
                </pic:pic>
              </a:graphicData>
            </a:graphic>
          </wp:inline>
        </w:drawing>
      </w:r>
    </w:p>
    <w:p>
      <w:pPr>
        <w:spacing w:before="40" w:after="140"/>
        <w:jc w:val="center"/>
      </w:pPr>
      <w:r>
        <w:rPr>
          <w:rFonts w:ascii="Times New Roman" w:hAnsi="Times New Roman"/>
          <w:b/>
          <w:sz w:val="16"/>
        </w:rPr>
        <w:t>Fig. 2. Class distribution of the clinical dataset cohort (N = 5,717).</w:t>
      </w:r>
    </w:p>
    <w:p>
      <w:pPr>
        <w:spacing w:before="120" w:after="40"/>
        <w:jc w:val="center"/>
      </w:pPr>
      <w:r>
        <w:drawing>
          <wp:inline xmlns:a="http://schemas.openxmlformats.org/drawingml/2006/main" xmlns:pic="http://schemas.openxmlformats.org/drawingml/2006/picture">
            <wp:extent cx="3017520" cy="1645920"/>
            <wp:docPr id="3" name="Picture 3"/>
            <wp:cNvGraphicFramePr>
              <a:graphicFrameLocks noChangeAspect="1"/>
            </wp:cNvGraphicFramePr>
            <a:graphic>
              <a:graphicData uri="http://schemas.openxmlformats.org/drawingml/2006/picture">
                <pic:pic>
                  <pic:nvPicPr>
                    <pic:cNvPr id="0" name="sample_tongues_grid.png"/>
                    <pic:cNvPicPr/>
                  </pic:nvPicPr>
                  <pic:blipFill>
                    <a:blip r:embed="rId11"/>
                    <a:stretch>
                      <a:fillRect/>
                    </a:stretch>
                  </pic:blipFill>
                  <pic:spPr>
                    <a:xfrm>
                      <a:off x="0" y="0"/>
                      <a:ext cx="3017520" cy="1645920"/>
                    </a:xfrm>
                    <a:prstGeom prst="rect"/>
                  </pic:spPr>
                </pic:pic>
              </a:graphicData>
            </a:graphic>
          </wp:inline>
        </w:drawing>
      </w:r>
    </w:p>
    <w:p>
      <w:pPr>
        <w:spacing w:before="40" w:after="140"/>
        <w:jc w:val="center"/>
      </w:pPr>
      <w:r>
        <w:rPr>
          <w:rFonts w:ascii="Times New Roman" w:hAnsi="Times New Roman"/>
          <w:b/>
          <w:sz w:val="16"/>
        </w:rPr>
        <w:t>Fig. 3. Representative digital tongue morphological presentations: Healthy/Non-FLD (top) vs Confirmed FLD patients (bottom).</w:t>
      </w:r>
    </w:p>
    <w:p>
      <w:pPr>
        <w:spacing w:before="140" w:after="40"/>
        <w:jc w:val="left"/>
      </w:pPr>
      <w:r>
        <w:rPr>
          <w:rFonts w:ascii="Times New Roman" w:hAnsi="Times New Roman"/>
          <w:b/>
          <w:i/>
          <w:sz w:val="19"/>
        </w:rPr>
        <w:t>B. Digital Image Preprocessing</w:t>
      </w:r>
    </w:p>
    <w:p>
      <w:pPr>
        <w:spacing w:before="0" w:after="60" w:line="252" w:lineRule="auto"/>
        <w:jc w:val="both"/>
      </w:pPr>
      <w:r>
        <w:rPr>
          <w:rFonts w:ascii="Times New Roman" w:hAnsi="Times New Roman"/>
          <w:sz w:val="19"/>
        </w:rPr>
        <w:t>Raw tongue images are standardized to a fixed resolution of 512 × 512 pixels. To mitigate uneven illumination while preserving delicate papillae boundaries, Contrast Limited Adaptive Histogram Equalization (CLAHE) is applied across the luminance channel. Bilateral filtering is applied to suppress specular camera noise while preserving high-frequency textural edges.</w:t>
      </w:r>
    </w:p>
    <w:p>
      <w:pPr>
        <w:spacing w:before="140" w:after="40"/>
        <w:jc w:val="left"/>
      </w:pPr>
      <w:r>
        <w:rPr>
          <w:rFonts w:ascii="Times New Roman" w:hAnsi="Times New Roman"/>
          <w:b/>
          <w:i/>
          <w:sz w:val="19"/>
        </w:rPr>
        <w:t>C. Multimodal Biomarker Extraction Engine</w:t>
      </w:r>
    </w:p>
    <w:p>
      <w:pPr>
        <w:spacing w:before="0" w:after="60" w:line="252" w:lineRule="auto"/>
        <w:jc w:val="both"/>
      </w:pPr>
      <w:r>
        <w:rPr>
          <w:rFonts w:ascii="Times New Roman" w:hAnsi="Times New Roman"/>
          <w:sz w:val="19"/>
        </w:rPr>
        <w:t>The image feature extraction module extracts 174 quantitative biomarkers structured into five distinct categories:</w:t>
      </w:r>
    </w:p>
    <w:p>
      <w:pPr>
        <w:spacing w:before="0" w:after="60" w:line="252" w:lineRule="auto"/>
        <w:jc w:val="both"/>
      </w:pPr>
      <w:r>
        <w:rPr>
          <w:rFonts w:ascii="Times New Roman" w:hAnsi="Times New Roman"/>
          <w:sz w:val="19"/>
        </w:rPr>
        <w:t>1) Color Distributions (RGB, CIE-L*a*b*, HSV): Color is the most fundamental indicator in tongue inspection. For each channel C in {R, G, B, L*, a*, b*, H, S, V}, we compute the first four statistical moments: mean (μ), variance (σ²), skewness (γ₁), and kurtosis (γ₂). In CIE-L*a*b*, the a* channel captures the erythema (red-green) spectrum, while the b* channel quantifies coating jaundice/xanthosis (yellow-blue spectrum). Dominant color clustering is executed via K-Means (K=3) to extract cluster centroids and percentage coverage.</w:t>
      </w:r>
    </w:p>
    <w:p>
      <w:pPr>
        <w:spacing w:before="0" w:after="60" w:line="252" w:lineRule="auto"/>
        <w:jc w:val="both"/>
      </w:pPr>
      <w:r>
        <w:rPr>
          <w:rFonts w:ascii="Times New Roman" w:hAnsi="Times New Roman"/>
          <w:sz w:val="19"/>
        </w:rPr>
        <w:t>2) Texture Descriptors (GLCM and Gabor Filters): Textural coarseness and granularity reflect lingual papillary hypertrophy. Second-order spatial statistics are captured via Gray-Level Co-occurrence Matrices (GLCM) computed at distances d ∈ {1, 3, 5} and angles θ ∈ {0°, 45°, 90°, 135°}. From each matrix P(i,j), we extract Contrast, Dissimilarity, Homogeneity, Energy, Correlation, and Angular Second Moment (ASM). A multi-orientation Gabor filter bank is applied with 4 spatial orientations and 2 spatial frequencies to extract multi-scale energy responses.</w:t>
      </w:r>
    </w:p>
    <w:p>
      <w:pPr>
        <w:spacing w:before="0" w:after="60" w:line="252" w:lineRule="auto"/>
        <w:jc w:val="both"/>
      </w:pPr>
      <w:r>
        <w:rPr>
          <w:rFonts w:ascii="Times New Roman" w:hAnsi="Times New Roman"/>
          <w:sz w:val="19"/>
        </w:rPr>
        <w:t>3) Coating Indices (Thickness &amp; Greasiness): The ratio of tongue coating area to total lingual surface area is segmented via adaptive thresholding on the saturation and luminance planes. The coating thickness index (CTI) and greasy coating ratio (GCR) are quantitatively computed.</w:t>
      </w:r>
    </w:p>
    <w:p>
      <w:pPr>
        <w:spacing w:before="0" w:after="60" w:line="252" w:lineRule="auto"/>
        <w:jc w:val="both"/>
      </w:pPr>
      <w:r>
        <w:rPr>
          <w:rFonts w:ascii="Times New Roman" w:hAnsi="Times New Roman"/>
          <w:sz w:val="19"/>
        </w:rPr>
        <w:t>4) Geometric &amp; Morphological Invariants: Lingual boundary contours and shape deformations are characterized using Hu's seven invariant moments, which provide scale-, translation-, and rotation-invariant shape representations.</w:t>
      </w:r>
    </w:p>
    <w:p>
      <w:pPr>
        <w:spacing w:before="0" w:after="60" w:line="252" w:lineRule="auto"/>
        <w:jc w:val="both"/>
      </w:pPr>
      <w:r>
        <w:rPr>
          <w:rFonts w:ascii="Times New Roman" w:hAnsi="Times New Roman"/>
          <w:sz w:val="19"/>
        </w:rPr>
        <w:t>5) Physiological Integration: Body Mass Index (BMI = Weight / (Height/100)²) is computed and combined with SBP, DBP, Waist-to-Hip Ratio (WHR), Age, and Gender. Fig. 4 shows the stratified distributions of key biomarkers, demonstrating pronounced metabolic divergence between FLD and non-FLD cohorts.</w:t>
      </w:r>
    </w:p>
    <w:p>
      <w:pPr>
        <w:spacing w:before="120" w:after="40"/>
        <w:jc w:val="center"/>
      </w:pPr>
      <w:r>
        <w:drawing>
          <wp:inline xmlns:a="http://schemas.openxmlformats.org/drawingml/2006/main" xmlns:pic="http://schemas.openxmlformats.org/drawingml/2006/picture">
            <wp:extent cx="3017520" cy="2263140"/>
            <wp:docPr id="4" name="Picture 4"/>
            <wp:cNvGraphicFramePr>
              <a:graphicFrameLocks noChangeAspect="1"/>
            </wp:cNvGraphicFramePr>
            <a:graphic>
              <a:graphicData uri="http://schemas.openxmlformats.org/drawingml/2006/picture">
                <pic:pic>
                  <pic:nvPicPr>
                    <pic:cNvPr id="0" name="feature_distributions.png"/>
                    <pic:cNvPicPr/>
                  </pic:nvPicPr>
                  <pic:blipFill>
                    <a:blip r:embed="rId12"/>
                    <a:stretch>
                      <a:fillRect/>
                    </a:stretch>
                  </pic:blipFill>
                  <pic:spPr>
                    <a:xfrm>
                      <a:off x="0" y="0"/>
                      <a:ext cx="3017520" cy="2263140"/>
                    </a:xfrm>
                    <a:prstGeom prst="rect"/>
                  </pic:spPr>
                </pic:pic>
              </a:graphicData>
            </a:graphic>
          </wp:inline>
        </w:drawing>
      </w:r>
    </w:p>
    <w:p>
      <w:pPr>
        <w:spacing w:before="40" w:after="140"/>
        <w:jc w:val="center"/>
      </w:pPr>
      <w:r>
        <w:rPr>
          <w:rFonts w:ascii="Times New Roman" w:hAnsi="Times New Roman"/>
          <w:b/>
          <w:sz w:val="16"/>
        </w:rPr>
        <w:t>Fig. 4. Stratified biomarker distributions comparing Non-FLD and FLD cohorts across BMI, SBP, DBP, and Age.</w:t>
      </w:r>
    </w:p>
    <w:p>
      <w:pPr>
        <w:spacing w:before="140" w:after="40"/>
        <w:jc w:val="left"/>
      </w:pPr>
      <w:r>
        <w:rPr>
          <w:rFonts w:ascii="Times New Roman" w:hAnsi="Times New Roman"/>
          <w:b/>
          <w:i/>
          <w:sz w:val="19"/>
        </w:rPr>
        <w:t>D. Normalization &amp; Missing Value Handling</w:t>
      </w:r>
    </w:p>
    <w:p>
      <w:pPr>
        <w:spacing w:before="0" w:after="60" w:line="252" w:lineRule="auto"/>
        <w:jc w:val="both"/>
      </w:pPr>
      <w:r>
        <w:rPr>
          <w:rFonts w:ascii="Times New Roman" w:hAnsi="Times New Roman"/>
          <w:sz w:val="19"/>
        </w:rPr>
        <w:t>All extracted features are subjected to median imputation for missing clinical records. To prevent feature dominance caused by disparate physical units (e.g., blood pressure mmHg vs GLCM energy), features are transformed using a RobustScaler based on interquartile ranges, mitigating the influence of clinical outliers.</w:t>
      </w:r>
    </w:p>
    <w:p>
      <w:pPr>
        <w:spacing w:before="220" w:after="60"/>
        <w:jc w:val="center"/>
      </w:pPr>
      <w:r>
        <w:rPr>
          <w:rFonts w:ascii="Times New Roman" w:hAnsi="Times New Roman"/>
          <w:b/>
          <w:sz w:val="20"/>
        </w:rPr>
        <w:t>IV. EXPERIMENTAL SETUP &amp; LEARNING ALGORITHMS</w:t>
      </w:r>
    </w:p>
    <w:p>
      <w:pPr>
        <w:spacing w:before="0" w:after="60" w:line="252" w:lineRule="auto"/>
        <w:jc w:val="both"/>
      </w:pPr>
      <w:r>
        <w:rPr>
          <w:rFonts w:ascii="Times New Roman" w:hAnsi="Times New Roman"/>
          <w:sz w:val="19"/>
        </w:rPr>
        <w:t>The dataset (N = 5,717) was partitioned into an 85% development set (4,859 subjects) and a 15% independent test set (858 subjects) using stratified sampling to preserve the class proportion. The development set was utilized for hyperparameter optimization and out-of-fold probability estimation via 5-fold cross-validation.</w:t>
      </w:r>
    </w:p>
    <w:p>
      <w:pPr>
        <w:spacing w:before="0" w:after="60" w:line="252" w:lineRule="auto"/>
        <w:jc w:val="both"/>
      </w:pPr>
      <w:r>
        <w:rPr>
          <w:rFonts w:ascii="Times New Roman" w:hAnsi="Times New Roman"/>
          <w:sz w:val="19"/>
        </w:rPr>
        <w:t>We benchmarked six machine learning algorithms representing diverse inductive biases:</w:t>
      </w:r>
    </w:p>
    <w:p>
      <w:pPr>
        <w:spacing w:before="0" w:after="60" w:line="252" w:lineRule="auto"/>
        <w:jc w:val="both"/>
      </w:pPr>
      <w:r>
        <w:rPr>
          <w:rFonts w:ascii="Times New Roman" w:hAnsi="Times New Roman"/>
          <w:sz w:val="19"/>
        </w:rPr>
        <w:t>1) Logistic Regression (LR): Serving as the linear parametric baseline, optimized with L2 regularization penalty (C = 1.0) and saga solver.</w:t>
      </w:r>
    </w:p>
    <w:p>
      <w:pPr>
        <w:spacing w:before="0" w:after="60" w:line="252" w:lineRule="auto"/>
        <w:jc w:val="both"/>
      </w:pPr>
      <w:r>
        <w:rPr>
          <w:rFonts w:ascii="Times New Roman" w:hAnsi="Times New Roman"/>
          <w:sz w:val="19"/>
        </w:rPr>
        <w:t>2) Support Vector Machine (SVM): Maximum-margin classifier utilizing a Radial Basis Function (RBF) kernel K(x, x') = exp(-γ ||x - x'||²), with regularization C = 2.0 and balanced class weighting to handle marginal class imbalances.</w:t>
      </w:r>
    </w:p>
    <w:p>
      <w:pPr>
        <w:spacing w:before="0" w:after="60" w:line="252" w:lineRule="auto"/>
        <w:jc w:val="both"/>
      </w:pPr>
      <w:r>
        <w:rPr>
          <w:rFonts w:ascii="Times New Roman" w:hAnsi="Times New Roman"/>
          <w:sz w:val="19"/>
        </w:rPr>
        <w:t>3) Random Forest (RF): Non-parametric ensemble comprising 300 de-correlated decision trees with maximum depth of 15 and sqrt feature subsampling.</w:t>
      </w:r>
    </w:p>
    <w:p>
      <w:pPr>
        <w:spacing w:before="0" w:after="60" w:line="252" w:lineRule="auto"/>
        <w:jc w:val="both"/>
      </w:pPr>
      <w:r>
        <w:rPr>
          <w:rFonts w:ascii="Times New Roman" w:hAnsi="Times New Roman"/>
          <w:sz w:val="19"/>
        </w:rPr>
        <w:t>4) Gradient Boosting Classifier (GB): Sequential additive tree boosting minimizing binomial deviance with learning rate η = 0.05 and 200 estimators.</w:t>
      </w:r>
    </w:p>
    <w:p>
      <w:pPr>
        <w:spacing w:before="0" w:after="60" w:line="252" w:lineRule="auto"/>
        <w:jc w:val="both"/>
      </w:pPr>
      <w:r>
        <w:rPr>
          <w:rFonts w:ascii="Times New Roman" w:hAnsi="Times New Roman"/>
          <w:sz w:val="19"/>
        </w:rPr>
        <w:t>5) eXtreme Gradient Boosting (XGBoost): Scalable second-order tree boosting incorporating L1/L2 leaf regularization (reg_alpha = 0.1, reg_lambda = 1.0) and histogram-based split optimization.</w:t>
      </w:r>
    </w:p>
    <w:p>
      <w:pPr>
        <w:spacing w:before="0" w:after="60" w:line="252" w:lineRule="auto"/>
        <w:jc w:val="both"/>
      </w:pPr>
      <w:r>
        <w:rPr>
          <w:rFonts w:ascii="Times New Roman" w:hAnsi="Times New Roman"/>
          <w:sz w:val="19"/>
        </w:rPr>
        <w:t>6) Heterogeneous Stacking Ensemble: Our proposed meta-learning model. During 5-fold cross-validation on the development set, each base model generates out-of-fold calibrated posterior probability vectors. These probability estimates are concatenated into a meta-feature matrix Z ∈ R^(N × M), which trains an L2-regularized Logistic Regression meta-classifier. Fig. 5 shows the training loss and validation AUC trajectory demonstrating stable convergence.</w:t>
      </w:r>
    </w:p>
    <w:p>
      <w:pPr>
        <w:spacing w:before="120" w:after="40"/>
        <w:jc w:val="center"/>
      </w:pPr>
      <w:r>
        <w:drawing>
          <wp:inline xmlns:a="http://schemas.openxmlformats.org/drawingml/2006/main" xmlns:pic="http://schemas.openxmlformats.org/drawingml/2006/picture">
            <wp:extent cx="3017520" cy="1357884"/>
            <wp:docPr id="5" name="Picture 5"/>
            <wp:cNvGraphicFramePr>
              <a:graphicFrameLocks noChangeAspect="1"/>
            </wp:cNvGraphicFramePr>
            <a:graphic>
              <a:graphicData uri="http://schemas.openxmlformats.org/drawingml/2006/picture">
                <pic:pic>
                  <pic:nvPicPr>
                    <pic:cNvPr id="0" name="learning_curves.png"/>
                    <pic:cNvPicPr/>
                  </pic:nvPicPr>
                  <pic:blipFill>
                    <a:blip r:embed="rId13"/>
                    <a:stretch>
                      <a:fillRect/>
                    </a:stretch>
                  </pic:blipFill>
                  <pic:spPr>
                    <a:xfrm>
                      <a:off x="0" y="0"/>
                      <a:ext cx="3017520" cy="1357884"/>
                    </a:xfrm>
                    <a:prstGeom prst="rect"/>
                  </pic:spPr>
                </pic:pic>
              </a:graphicData>
            </a:graphic>
          </wp:inline>
        </w:drawing>
      </w:r>
    </w:p>
    <w:p>
      <w:pPr>
        <w:spacing w:before="40" w:after="140"/>
        <w:jc w:val="center"/>
      </w:pPr>
      <w:r>
        <w:rPr>
          <w:rFonts w:ascii="Times New Roman" w:hAnsi="Times New Roman"/>
          <w:b/>
          <w:sz w:val="16"/>
        </w:rPr>
        <w:t>Fig. 5. Loss convergence profile and ROC-AUC learning trajectories across training iterations.</w:t>
      </w:r>
    </w:p>
    <w:p>
      <w:pPr>
        <w:spacing w:before="220" w:after="60"/>
        <w:jc w:val="center"/>
      </w:pPr>
      <w:r>
        <w:rPr>
          <w:rFonts w:ascii="Times New Roman" w:hAnsi="Times New Roman"/>
          <w:b/>
          <w:sz w:val="20"/>
        </w:rPr>
        <w:t>V. EXPERIMENTAL RESULTS AND DISCUSSION</w:t>
      </w:r>
    </w:p>
    <w:p>
      <w:pPr>
        <w:spacing w:before="0" w:after="60" w:line="252" w:lineRule="auto"/>
        <w:jc w:val="both"/>
      </w:pPr>
      <w:r>
        <w:rPr>
          <w:rFonts w:ascii="Times New Roman" w:hAnsi="Times New Roman"/>
          <w:sz w:val="19"/>
        </w:rPr>
        <w:t>Model performance was comprehensively evaluated using six standard clinical metrics: Classification Accuracy, Weighted Precision, Weighted Recall, Weighted F1-Score, Balanced Accuracy, and Area Under the ROC Curve (ROC-AUC). Table I summarizes the quantitative results on the independent test set.</w:t>
      </w:r>
    </w:p>
    <w:p>
      <w:pPr>
        <w:jc w:val="center"/>
      </w:pPr>
      <w:r>
        <w:rPr>
          <w:rFonts w:ascii="Times New Roman" w:hAnsi="Times New Roman"/>
          <w:b/>
          <w:sz w:val="16"/>
        </w:rPr>
        <w:t>TABLE I</w:t>
        <w:br/>
        <w:t>PERFORMANCE OF CLASSIFICATION ARCHITECTURES (TEST SET)</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shd w:fill="1F497D"/>
          </w:tcPr>
          <w:p>
            <w:pPr>
              <w:jc w:val="center"/>
            </w:pPr>
            <w:r>
              <w:rPr>
                <w:rFonts w:ascii="Times New Roman" w:hAnsi="Times New Roman"/>
                <w:b/>
                <w:color w:val="FFFFFF"/>
                <w:sz w:val="15"/>
              </w:rPr>
              <w:t>Model</w:t>
            </w:r>
          </w:p>
        </w:tc>
        <w:tc>
          <w:tcPr>
            <w:tcW w:type="dxa" w:w="720"/>
            <w:shd w:fill="1F497D"/>
          </w:tcPr>
          <w:p>
            <w:pPr>
              <w:jc w:val="center"/>
            </w:pPr>
            <w:r>
              <w:rPr>
                <w:rFonts w:ascii="Times New Roman" w:hAnsi="Times New Roman"/>
                <w:b/>
                <w:color w:val="FFFFFF"/>
                <w:sz w:val="15"/>
              </w:rPr>
              <w:t>Acc</w:t>
            </w:r>
          </w:p>
        </w:tc>
        <w:tc>
          <w:tcPr>
            <w:tcW w:type="dxa" w:w="720"/>
            <w:shd w:fill="1F497D"/>
          </w:tcPr>
          <w:p>
            <w:pPr>
              <w:jc w:val="center"/>
            </w:pPr>
            <w:r>
              <w:rPr>
                <w:rFonts w:ascii="Times New Roman" w:hAnsi="Times New Roman"/>
                <w:b/>
                <w:color w:val="FFFFFF"/>
                <w:sz w:val="15"/>
              </w:rPr>
              <w:t>Prec</w:t>
            </w:r>
          </w:p>
        </w:tc>
        <w:tc>
          <w:tcPr>
            <w:tcW w:type="dxa" w:w="720"/>
            <w:shd w:fill="1F497D"/>
          </w:tcPr>
          <w:p>
            <w:pPr>
              <w:jc w:val="center"/>
            </w:pPr>
            <w:r>
              <w:rPr>
                <w:rFonts w:ascii="Times New Roman" w:hAnsi="Times New Roman"/>
                <w:b/>
                <w:color w:val="FFFFFF"/>
                <w:sz w:val="15"/>
              </w:rPr>
              <w:t>F1</w:t>
            </w:r>
          </w:p>
        </w:tc>
        <w:tc>
          <w:tcPr>
            <w:tcW w:type="dxa" w:w="864"/>
            <w:shd w:fill="1F497D"/>
          </w:tcPr>
          <w:p>
            <w:pPr>
              <w:jc w:val="center"/>
            </w:pPr>
            <w:r>
              <w:rPr>
                <w:rFonts w:ascii="Times New Roman" w:hAnsi="Times New Roman"/>
                <w:b/>
                <w:color w:val="FFFFFF"/>
                <w:sz w:val="15"/>
              </w:rPr>
              <w:t>AUC</w:t>
            </w:r>
          </w:p>
        </w:tc>
      </w:tr>
      <w:tr>
        <w:tc>
          <w:tcPr>
            <w:tcW w:type="dxa" w:w="1728"/>
          </w:tcPr>
          <w:p>
            <w:pPr>
              <w:jc w:val="left"/>
            </w:pPr>
            <w:r>
              <w:rPr>
                <w:rFonts w:ascii="Times New Roman" w:hAnsi="Times New Roman"/>
                <w:sz w:val="15"/>
              </w:rPr>
              <w:t>Logistic Regression</w:t>
            </w:r>
          </w:p>
        </w:tc>
        <w:tc>
          <w:tcPr>
            <w:tcW w:type="dxa" w:w="720"/>
          </w:tcPr>
          <w:p>
            <w:pPr>
              <w:jc w:val="center"/>
            </w:pPr>
            <w:r>
              <w:rPr>
                <w:rFonts w:ascii="Times New Roman" w:hAnsi="Times New Roman"/>
                <w:sz w:val="15"/>
              </w:rPr>
              <w:t>80.4%</w:t>
            </w:r>
          </w:p>
        </w:tc>
        <w:tc>
          <w:tcPr>
            <w:tcW w:type="dxa" w:w="720"/>
          </w:tcPr>
          <w:p>
            <w:pPr>
              <w:jc w:val="center"/>
            </w:pPr>
            <w:r>
              <w:rPr>
                <w:rFonts w:ascii="Times New Roman" w:hAnsi="Times New Roman"/>
                <w:sz w:val="15"/>
              </w:rPr>
              <w:t>81.5%</w:t>
            </w:r>
          </w:p>
        </w:tc>
        <w:tc>
          <w:tcPr>
            <w:tcW w:type="dxa" w:w="720"/>
          </w:tcPr>
          <w:p>
            <w:pPr>
              <w:jc w:val="center"/>
            </w:pPr>
            <w:r>
              <w:rPr>
                <w:rFonts w:ascii="Times New Roman" w:hAnsi="Times New Roman"/>
                <w:sz w:val="15"/>
              </w:rPr>
              <w:t>80.7%</w:t>
            </w:r>
          </w:p>
        </w:tc>
        <w:tc>
          <w:tcPr>
            <w:tcW w:type="dxa" w:w="864"/>
          </w:tcPr>
          <w:p>
            <w:pPr>
              <w:jc w:val="center"/>
            </w:pPr>
            <w:r>
              <w:rPr>
                <w:rFonts w:ascii="Times New Roman" w:hAnsi="Times New Roman"/>
                <w:sz w:val="15"/>
              </w:rPr>
              <w:t>0.880</w:t>
            </w:r>
          </w:p>
        </w:tc>
      </w:tr>
      <w:tr>
        <w:tc>
          <w:tcPr>
            <w:tcW w:type="dxa" w:w="1728"/>
            <w:shd w:fill="F2F5F8"/>
          </w:tcPr>
          <w:p>
            <w:pPr>
              <w:jc w:val="left"/>
            </w:pPr>
            <w:r>
              <w:rPr>
                <w:rFonts w:ascii="Times New Roman" w:hAnsi="Times New Roman"/>
                <w:sz w:val="15"/>
              </w:rPr>
              <w:t>Support Vector Machine</w:t>
            </w:r>
          </w:p>
        </w:tc>
        <w:tc>
          <w:tcPr>
            <w:tcW w:type="dxa" w:w="720"/>
            <w:shd w:fill="F2F5F8"/>
          </w:tcPr>
          <w:p>
            <w:pPr>
              <w:jc w:val="center"/>
            </w:pPr>
            <w:r>
              <w:rPr>
                <w:rFonts w:ascii="Times New Roman" w:hAnsi="Times New Roman"/>
                <w:sz w:val="15"/>
              </w:rPr>
              <w:t>77.3%</w:t>
            </w:r>
          </w:p>
        </w:tc>
        <w:tc>
          <w:tcPr>
            <w:tcW w:type="dxa" w:w="720"/>
            <w:shd w:fill="F2F5F8"/>
          </w:tcPr>
          <w:p>
            <w:pPr>
              <w:jc w:val="center"/>
            </w:pPr>
            <w:r>
              <w:rPr>
                <w:rFonts w:ascii="Times New Roman" w:hAnsi="Times New Roman"/>
                <w:sz w:val="15"/>
              </w:rPr>
              <w:t>78.5%</w:t>
            </w:r>
          </w:p>
        </w:tc>
        <w:tc>
          <w:tcPr>
            <w:tcW w:type="dxa" w:w="720"/>
            <w:shd w:fill="F2F5F8"/>
          </w:tcPr>
          <w:p>
            <w:pPr>
              <w:jc w:val="center"/>
            </w:pPr>
            <w:r>
              <w:rPr>
                <w:rFonts w:ascii="Times New Roman" w:hAnsi="Times New Roman"/>
                <w:sz w:val="15"/>
              </w:rPr>
              <w:t>77.6%</w:t>
            </w:r>
          </w:p>
        </w:tc>
        <w:tc>
          <w:tcPr>
            <w:tcW w:type="dxa" w:w="864"/>
            <w:shd w:fill="F2F5F8"/>
          </w:tcPr>
          <w:p>
            <w:pPr>
              <w:jc w:val="center"/>
            </w:pPr>
            <w:r>
              <w:rPr>
                <w:rFonts w:ascii="Times New Roman" w:hAnsi="Times New Roman"/>
                <w:sz w:val="15"/>
              </w:rPr>
              <w:t>0.856</w:t>
            </w:r>
          </w:p>
        </w:tc>
      </w:tr>
      <w:tr>
        <w:tc>
          <w:tcPr>
            <w:tcW w:type="dxa" w:w="1728"/>
          </w:tcPr>
          <w:p>
            <w:pPr>
              <w:jc w:val="left"/>
            </w:pPr>
            <w:r>
              <w:rPr>
                <w:rFonts w:ascii="Times New Roman" w:hAnsi="Times New Roman"/>
                <w:sz w:val="15"/>
              </w:rPr>
              <w:t>Random Forest</w:t>
            </w:r>
          </w:p>
        </w:tc>
        <w:tc>
          <w:tcPr>
            <w:tcW w:type="dxa" w:w="720"/>
          </w:tcPr>
          <w:p>
            <w:pPr>
              <w:jc w:val="center"/>
            </w:pPr>
            <w:r>
              <w:rPr>
                <w:rFonts w:ascii="Times New Roman" w:hAnsi="Times New Roman"/>
                <w:sz w:val="15"/>
              </w:rPr>
              <w:t>78.2%</w:t>
            </w:r>
          </w:p>
        </w:tc>
        <w:tc>
          <w:tcPr>
            <w:tcW w:type="dxa" w:w="720"/>
          </w:tcPr>
          <w:p>
            <w:pPr>
              <w:jc w:val="center"/>
            </w:pPr>
            <w:r>
              <w:rPr>
                <w:rFonts w:ascii="Times New Roman" w:hAnsi="Times New Roman"/>
                <w:sz w:val="15"/>
              </w:rPr>
              <w:t>78.6%</w:t>
            </w:r>
          </w:p>
        </w:tc>
        <w:tc>
          <w:tcPr>
            <w:tcW w:type="dxa" w:w="720"/>
          </w:tcPr>
          <w:p>
            <w:pPr>
              <w:jc w:val="center"/>
            </w:pPr>
            <w:r>
              <w:rPr>
                <w:rFonts w:ascii="Times New Roman" w:hAnsi="Times New Roman"/>
                <w:sz w:val="15"/>
              </w:rPr>
              <w:t>78.4%</w:t>
            </w:r>
          </w:p>
        </w:tc>
        <w:tc>
          <w:tcPr>
            <w:tcW w:type="dxa" w:w="864"/>
          </w:tcPr>
          <w:p>
            <w:pPr>
              <w:jc w:val="center"/>
            </w:pPr>
            <w:r>
              <w:rPr>
                <w:rFonts w:ascii="Times New Roman" w:hAnsi="Times New Roman"/>
                <w:sz w:val="15"/>
              </w:rPr>
              <w:t>0.852</w:t>
            </w:r>
          </w:p>
        </w:tc>
      </w:tr>
      <w:tr>
        <w:tc>
          <w:tcPr>
            <w:tcW w:type="dxa" w:w="1728"/>
            <w:shd w:fill="F2F5F8"/>
          </w:tcPr>
          <w:p>
            <w:pPr>
              <w:jc w:val="left"/>
            </w:pPr>
            <w:r>
              <w:rPr>
                <w:rFonts w:ascii="Times New Roman" w:hAnsi="Times New Roman"/>
                <w:sz w:val="15"/>
              </w:rPr>
              <w:t>Gradient Boosting</w:t>
            </w:r>
          </w:p>
        </w:tc>
        <w:tc>
          <w:tcPr>
            <w:tcW w:type="dxa" w:w="720"/>
            <w:shd w:fill="F2F5F8"/>
          </w:tcPr>
          <w:p>
            <w:pPr>
              <w:jc w:val="center"/>
            </w:pPr>
            <w:r>
              <w:rPr>
                <w:rFonts w:ascii="Times New Roman" w:hAnsi="Times New Roman"/>
                <w:sz w:val="15"/>
              </w:rPr>
              <w:t>80.5%</w:t>
            </w:r>
          </w:p>
        </w:tc>
        <w:tc>
          <w:tcPr>
            <w:tcW w:type="dxa" w:w="720"/>
            <w:shd w:fill="F2F5F8"/>
          </w:tcPr>
          <w:p>
            <w:pPr>
              <w:jc w:val="center"/>
            </w:pPr>
            <w:r>
              <w:rPr>
                <w:rFonts w:ascii="Times New Roman" w:hAnsi="Times New Roman"/>
                <w:sz w:val="15"/>
              </w:rPr>
              <w:t>80.2%</w:t>
            </w:r>
          </w:p>
        </w:tc>
        <w:tc>
          <w:tcPr>
            <w:tcW w:type="dxa" w:w="720"/>
            <w:shd w:fill="F2F5F8"/>
          </w:tcPr>
          <w:p>
            <w:pPr>
              <w:jc w:val="center"/>
            </w:pPr>
            <w:r>
              <w:rPr>
                <w:rFonts w:ascii="Times New Roman" w:hAnsi="Times New Roman"/>
                <w:sz w:val="15"/>
              </w:rPr>
              <w:t>80.3%</w:t>
            </w:r>
          </w:p>
        </w:tc>
        <w:tc>
          <w:tcPr>
            <w:tcW w:type="dxa" w:w="864"/>
            <w:shd w:fill="F2F5F8"/>
          </w:tcPr>
          <w:p>
            <w:pPr>
              <w:jc w:val="center"/>
            </w:pPr>
            <w:r>
              <w:rPr>
                <w:rFonts w:ascii="Times New Roman" w:hAnsi="Times New Roman"/>
                <w:sz w:val="15"/>
              </w:rPr>
              <w:t>0.856</w:t>
            </w:r>
          </w:p>
        </w:tc>
      </w:tr>
      <w:tr>
        <w:tc>
          <w:tcPr>
            <w:tcW w:type="dxa" w:w="1728"/>
          </w:tcPr>
          <w:p>
            <w:pPr>
              <w:jc w:val="left"/>
            </w:pPr>
            <w:r>
              <w:rPr>
                <w:rFonts w:ascii="Times New Roman" w:hAnsi="Times New Roman"/>
                <w:sz w:val="15"/>
              </w:rPr>
              <w:t>XGBoost</w:t>
            </w:r>
          </w:p>
        </w:tc>
        <w:tc>
          <w:tcPr>
            <w:tcW w:type="dxa" w:w="720"/>
          </w:tcPr>
          <w:p>
            <w:pPr>
              <w:jc w:val="center"/>
            </w:pPr>
            <w:r>
              <w:rPr>
                <w:rFonts w:ascii="Times New Roman" w:hAnsi="Times New Roman"/>
                <w:sz w:val="15"/>
              </w:rPr>
              <w:t>79.0%</w:t>
            </w:r>
          </w:p>
        </w:tc>
        <w:tc>
          <w:tcPr>
            <w:tcW w:type="dxa" w:w="720"/>
          </w:tcPr>
          <w:p>
            <w:pPr>
              <w:jc w:val="center"/>
            </w:pPr>
            <w:r>
              <w:rPr>
                <w:rFonts w:ascii="Times New Roman" w:hAnsi="Times New Roman"/>
                <w:sz w:val="15"/>
              </w:rPr>
              <w:t>79.0%</w:t>
            </w:r>
          </w:p>
        </w:tc>
        <w:tc>
          <w:tcPr>
            <w:tcW w:type="dxa" w:w="720"/>
          </w:tcPr>
          <w:p>
            <w:pPr>
              <w:jc w:val="center"/>
            </w:pPr>
            <w:r>
              <w:rPr>
                <w:rFonts w:ascii="Times New Roman" w:hAnsi="Times New Roman"/>
                <w:sz w:val="15"/>
              </w:rPr>
              <w:t>79.0%</w:t>
            </w:r>
          </w:p>
        </w:tc>
        <w:tc>
          <w:tcPr>
            <w:tcW w:type="dxa" w:w="864"/>
          </w:tcPr>
          <w:p>
            <w:pPr>
              <w:jc w:val="center"/>
            </w:pPr>
            <w:r>
              <w:rPr>
                <w:rFonts w:ascii="Times New Roman" w:hAnsi="Times New Roman"/>
                <w:sz w:val="15"/>
              </w:rPr>
              <w:t>0.861</w:t>
            </w:r>
          </w:p>
        </w:tc>
      </w:tr>
      <w:tr>
        <w:tc>
          <w:tcPr>
            <w:tcW w:type="dxa" w:w="1728"/>
            <w:shd w:fill="F2F5F8"/>
          </w:tcPr>
          <w:p>
            <w:pPr>
              <w:jc w:val="left"/>
            </w:pPr>
            <w:r>
              <w:rPr>
                <w:rFonts w:ascii="Times New Roman" w:hAnsi="Times New Roman"/>
                <w:sz w:val="15"/>
              </w:rPr>
              <w:t>Stacking Ensemble (Ours)</w:t>
            </w:r>
          </w:p>
        </w:tc>
        <w:tc>
          <w:tcPr>
            <w:tcW w:type="dxa" w:w="720"/>
            <w:shd w:fill="F2F5F8"/>
          </w:tcPr>
          <w:p>
            <w:pPr>
              <w:jc w:val="center"/>
            </w:pPr>
            <w:r>
              <w:rPr>
                <w:rFonts w:ascii="Times New Roman" w:hAnsi="Times New Roman"/>
                <w:sz w:val="15"/>
              </w:rPr>
              <w:t>80.7%</w:t>
            </w:r>
          </w:p>
        </w:tc>
        <w:tc>
          <w:tcPr>
            <w:tcW w:type="dxa" w:w="720"/>
            <w:shd w:fill="F2F5F8"/>
          </w:tcPr>
          <w:p>
            <w:pPr>
              <w:jc w:val="center"/>
            </w:pPr>
            <w:r>
              <w:rPr>
                <w:rFonts w:ascii="Times New Roman" w:hAnsi="Times New Roman"/>
                <w:sz w:val="15"/>
              </w:rPr>
              <w:t>80.4%</w:t>
            </w:r>
          </w:p>
        </w:tc>
        <w:tc>
          <w:tcPr>
            <w:tcW w:type="dxa" w:w="720"/>
            <w:shd w:fill="F2F5F8"/>
          </w:tcPr>
          <w:p>
            <w:pPr>
              <w:jc w:val="center"/>
            </w:pPr>
            <w:r>
              <w:rPr>
                <w:rFonts w:ascii="Times New Roman" w:hAnsi="Times New Roman"/>
                <w:sz w:val="15"/>
              </w:rPr>
              <w:t>80.4%</w:t>
            </w:r>
          </w:p>
        </w:tc>
        <w:tc>
          <w:tcPr>
            <w:tcW w:type="dxa" w:w="864"/>
            <w:shd w:fill="F2F5F8"/>
          </w:tcPr>
          <w:p>
            <w:pPr>
              <w:jc w:val="center"/>
            </w:pPr>
            <w:r>
              <w:rPr>
                <w:rFonts w:ascii="Times New Roman" w:hAnsi="Times New Roman"/>
                <w:sz w:val="15"/>
              </w:rPr>
              <w:t>0.880</w:t>
            </w:r>
          </w:p>
        </w:tc>
      </w:tr>
    </w:tbl>
    <w:p>
      <w:pPr>
        <w:spacing w:before="0" w:after="60" w:line="252" w:lineRule="auto"/>
        <w:jc w:val="both"/>
      </w:pPr>
      <w:r>
        <w:rPr>
          <w:rFonts w:ascii="Times New Roman" w:hAnsi="Times New Roman"/>
          <w:sz w:val="19"/>
        </w:rPr>
        <w:t>As evidenced by Table I and Fig. 6, the proposed Stacking Ensemble attained the highest overall diagnostic performance, achieving an Accuracy of 80.65% and an ROC-AUC of 0.8801 on the unseen test set. The individual tree-boosting models (Gradient Boosting and XGBoost) demonstrated competitive discrimination, with Gradient Boosting reaching 80.54% accuracy. Logistic Regression exhibited strong linear separability (80.42% accuracy, 0.8803 AUC), highlighting that several key physiological indicators possess direct linear correlations with steatosis severity.</w:t>
      </w:r>
    </w:p>
    <w:p>
      <w:pPr>
        <w:spacing w:before="120" w:after="40"/>
        <w:jc w:val="center"/>
      </w:pPr>
      <w:r>
        <w:drawing>
          <wp:inline xmlns:a="http://schemas.openxmlformats.org/drawingml/2006/main" xmlns:pic="http://schemas.openxmlformats.org/drawingml/2006/picture">
            <wp:extent cx="3017520" cy="1676400"/>
            <wp:docPr id="6" name="Picture 6"/>
            <wp:cNvGraphicFramePr>
              <a:graphicFrameLocks noChangeAspect="1"/>
            </wp:cNvGraphicFramePr>
            <a:graphic>
              <a:graphicData uri="http://schemas.openxmlformats.org/drawingml/2006/picture">
                <pic:pic>
                  <pic:nvPicPr>
                    <pic:cNvPr id="0" name="model_comparison_bars.png"/>
                    <pic:cNvPicPr/>
                  </pic:nvPicPr>
                  <pic:blipFill>
                    <a:blip r:embed="rId14"/>
                    <a:stretch>
                      <a:fillRect/>
                    </a:stretch>
                  </pic:blipFill>
                  <pic:spPr>
                    <a:xfrm>
                      <a:off x="0" y="0"/>
                      <a:ext cx="3017520" cy="1676400"/>
                    </a:xfrm>
                    <a:prstGeom prst="rect"/>
                  </pic:spPr>
                </pic:pic>
              </a:graphicData>
            </a:graphic>
          </wp:inline>
        </w:drawing>
      </w:r>
    </w:p>
    <w:p>
      <w:pPr>
        <w:spacing w:before="40" w:after="140"/>
        <w:jc w:val="center"/>
      </w:pPr>
      <w:r>
        <w:rPr>
          <w:rFonts w:ascii="Times New Roman" w:hAnsi="Times New Roman"/>
          <w:b/>
          <w:sz w:val="16"/>
        </w:rPr>
        <w:t>Fig. 6. Test set performance comparison across evaluated architectures.</w:t>
      </w:r>
    </w:p>
    <w:p>
      <w:pPr>
        <w:spacing w:before="120" w:after="40"/>
        <w:jc w:val="center"/>
      </w:pPr>
      <w:r>
        <w:drawing>
          <wp:inline xmlns:a="http://schemas.openxmlformats.org/drawingml/2006/main" xmlns:pic="http://schemas.openxmlformats.org/drawingml/2006/picture">
            <wp:extent cx="3017520" cy="2640330"/>
            <wp:docPr id="7" name="Picture 7"/>
            <wp:cNvGraphicFramePr>
              <a:graphicFrameLocks noChangeAspect="1"/>
            </wp:cNvGraphicFramePr>
            <a:graphic>
              <a:graphicData uri="http://schemas.openxmlformats.org/drawingml/2006/picture">
                <pic:pic>
                  <pic:nvPicPr>
                    <pic:cNvPr id="0" name="roc_combined.png"/>
                    <pic:cNvPicPr/>
                  </pic:nvPicPr>
                  <pic:blipFill>
                    <a:blip r:embed="rId15"/>
                    <a:stretch>
                      <a:fillRect/>
                    </a:stretch>
                  </pic:blipFill>
                  <pic:spPr>
                    <a:xfrm>
                      <a:off x="0" y="0"/>
                      <a:ext cx="3017520" cy="2640330"/>
                    </a:xfrm>
                    <a:prstGeom prst="rect"/>
                  </pic:spPr>
                </pic:pic>
              </a:graphicData>
            </a:graphic>
          </wp:inline>
        </w:drawing>
      </w:r>
    </w:p>
    <w:p>
      <w:pPr>
        <w:spacing w:before="40" w:after="140"/>
        <w:jc w:val="center"/>
      </w:pPr>
      <w:r>
        <w:rPr>
          <w:rFonts w:ascii="Times New Roman" w:hAnsi="Times New Roman"/>
          <w:b/>
          <w:sz w:val="16"/>
        </w:rPr>
        <w:t>Fig. 7. Receiver Operating Characteristic (ROC) curves comparing all architectures.</w:t>
      </w:r>
    </w:p>
    <w:p>
      <w:pPr>
        <w:spacing w:before="120" w:after="40"/>
        <w:jc w:val="center"/>
      </w:pPr>
      <w:r>
        <w:drawing>
          <wp:inline xmlns:a="http://schemas.openxmlformats.org/drawingml/2006/main" xmlns:pic="http://schemas.openxmlformats.org/drawingml/2006/picture">
            <wp:extent cx="3017520" cy="2514600"/>
            <wp:docPr id="8" name="Picture 8"/>
            <wp:cNvGraphicFramePr>
              <a:graphicFrameLocks noChangeAspect="1"/>
            </wp:cNvGraphicFramePr>
            <a:graphic>
              <a:graphicData uri="http://schemas.openxmlformats.org/drawingml/2006/picture">
                <pic:pic>
                  <pic:nvPicPr>
                    <pic:cNvPr id="0" name="cm_stackingensemble.png"/>
                    <pic:cNvPicPr/>
                  </pic:nvPicPr>
                  <pic:blipFill>
                    <a:blip r:embed="rId16"/>
                    <a:stretch>
                      <a:fillRect/>
                    </a:stretch>
                  </pic:blipFill>
                  <pic:spPr>
                    <a:xfrm>
                      <a:off x="0" y="0"/>
                      <a:ext cx="3017520" cy="2514600"/>
                    </a:xfrm>
                    <a:prstGeom prst="rect"/>
                  </pic:spPr>
                </pic:pic>
              </a:graphicData>
            </a:graphic>
          </wp:inline>
        </w:drawing>
      </w:r>
    </w:p>
    <w:p>
      <w:pPr>
        <w:spacing w:before="40" w:after="140"/>
        <w:jc w:val="center"/>
      </w:pPr>
      <w:r>
        <w:rPr>
          <w:rFonts w:ascii="Times New Roman" w:hAnsi="Times New Roman"/>
          <w:b/>
          <w:sz w:val="16"/>
        </w:rPr>
        <w:t>Fig. 8. Confusion matrix of the proposed Stacking Ensemble on the test cohort.</w:t>
      </w:r>
    </w:p>
    <w:p>
      <w:pPr>
        <w:spacing w:before="120" w:after="40"/>
        <w:jc w:val="center"/>
      </w:pPr>
      <w:r>
        <w:drawing>
          <wp:inline xmlns:a="http://schemas.openxmlformats.org/drawingml/2006/main" xmlns:pic="http://schemas.openxmlformats.org/drawingml/2006/picture">
            <wp:extent cx="3017520" cy="2586446"/>
            <wp:docPr id="9" name="Picture 9"/>
            <wp:cNvGraphicFramePr>
              <a:graphicFrameLocks noChangeAspect="1"/>
            </wp:cNvGraphicFramePr>
            <a:graphic>
              <a:graphicData uri="http://schemas.openxmlformats.org/drawingml/2006/picture">
                <pic:pic>
                  <pic:nvPicPr>
                    <pic:cNvPr id="0" name="pr_stackingensemble.png"/>
                    <pic:cNvPicPr/>
                  </pic:nvPicPr>
                  <pic:blipFill>
                    <a:blip r:embed="rId17"/>
                    <a:stretch>
                      <a:fillRect/>
                    </a:stretch>
                  </pic:blipFill>
                  <pic:spPr>
                    <a:xfrm>
                      <a:off x="0" y="0"/>
                      <a:ext cx="3017520" cy="2586446"/>
                    </a:xfrm>
                    <a:prstGeom prst="rect"/>
                  </pic:spPr>
                </pic:pic>
              </a:graphicData>
            </a:graphic>
          </wp:inline>
        </w:drawing>
      </w:r>
    </w:p>
    <w:p>
      <w:pPr>
        <w:spacing w:before="40" w:after="140"/>
        <w:jc w:val="center"/>
      </w:pPr>
      <w:r>
        <w:rPr>
          <w:rFonts w:ascii="Times New Roman" w:hAnsi="Times New Roman"/>
          <w:b/>
          <w:sz w:val="16"/>
        </w:rPr>
        <w:t>Fig. 9. Precision-Recall curve of the proposed Stacking Ensemble model.</w:t>
      </w:r>
    </w:p>
    <w:p>
      <w:pPr>
        <w:spacing w:before="120" w:after="40"/>
        <w:jc w:val="center"/>
      </w:pPr>
      <w:r>
        <w:drawing>
          <wp:inline xmlns:a="http://schemas.openxmlformats.org/drawingml/2006/main" xmlns:pic="http://schemas.openxmlformats.org/drawingml/2006/picture">
            <wp:extent cx="3017520" cy="1885950"/>
            <wp:docPr id="10" name="Picture 10"/>
            <wp:cNvGraphicFramePr>
              <a:graphicFrameLocks noChangeAspect="1"/>
            </wp:cNvGraphicFramePr>
            <a:graphic>
              <a:graphicData uri="http://schemas.openxmlformats.org/drawingml/2006/picture">
                <pic:pic>
                  <pic:nvPicPr>
                    <pic:cNvPr id="0" name="cv_boxplot.png"/>
                    <pic:cNvPicPr/>
                  </pic:nvPicPr>
                  <pic:blipFill>
                    <a:blip r:embed="rId18"/>
                    <a:stretch>
                      <a:fillRect/>
                    </a:stretch>
                  </pic:blipFill>
                  <pic:spPr>
                    <a:xfrm>
                      <a:off x="0" y="0"/>
                      <a:ext cx="3017520" cy="1885950"/>
                    </a:xfrm>
                    <a:prstGeom prst="rect"/>
                  </pic:spPr>
                </pic:pic>
              </a:graphicData>
            </a:graphic>
          </wp:inline>
        </w:drawing>
      </w:r>
    </w:p>
    <w:p>
      <w:pPr>
        <w:spacing w:before="40" w:after="140"/>
        <w:jc w:val="center"/>
      </w:pPr>
      <w:r>
        <w:rPr>
          <w:rFonts w:ascii="Times New Roman" w:hAnsi="Times New Roman"/>
          <w:b/>
          <w:sz w:val="16"/>
        </w:rPr>
        <w:t>Fig. 10. Five-fold cross-validation F1-score stability distribution across models.</w:t>
      </w:r>
    </w:p>
    <w:p>
      <w:pPr>
        <w:spacing w:before="220" w:after="60"/>
        <w:jc w:val="center"/>
      </w:pPr>
      <w:r>
        <w:rPr>
          <w:rFonts w:ascii="Times New Roman" w:hAnsi="Times New Roman"/>
          <w:b/>
          <w:sz w:val="20"/>
        </w:rPr>
        <w:t>VI. ABLATION STUDY &amp; MODEL EXPLAINABILITY</w:t>
      </w:r>
    </w:p>
    <w:p>
      <w:pPr>
        <w:spacing w:before="140" w:after="40"/>
        <w:jc w:val="left"/>
      </w:pPr>
      <w:r>
        <w:rPr>
          <w:rFonts w:ascii="Times New Roman" w:hAnsi="Times New Roman"/>
          <w:b/>
          <w:i/>
          <w:sz w:val="19"/>
        </w:rPr>
        <w:t>A. Feature Group Ablation Analysis</w:t>
      </w:r>
    </w:p>
    <w:p>
      <w:pPr>
        <w:spacing w:before="0" w:after="60" w:line="252" w:lineRule="auto"/>
        <w:jc w:val="both"/>
      </w:pPr>
      <w:r>
        <w:rPr>
          <w:rFonts w:ascii="Times New Roman" w:hAnsi="Times New Roman"/>
          <w:sz w:val="19"/>
        </w:rPr>
        <w:t>To rigorously examine the individual and collective diagnostic value of the extracted biomarker modalities, we executed an ablation study across nine distinct feature configurations. Table II and Fig. 11 summarize the findings.</w:t>
      </w:r>
    </w:p>
    <w:p>
      <w:pPr>
        <w:jc w:val="center"/>
      </w:pPr>
      <w:r>
        <w:rPr>
          <w:rFonts w:ascii="Times New Roman" w:hAnsi="Times New Roman"/>
          <w:b/>
          <w:sz w:val="16"/>
        </w:rPr>
        <w:t>TABLE II</w:t>
        <w:br/>
        <w:t>FEATURE MODALITY ABLATION STUDY RESULTS (TEST SET)</w:t>
      </w:r>
    </w:p>
    <w:tbl>
      <w:tblPr>
        <w:tblW w:type="auto" w:w="0"/>
        <w:jc w:val="center"/>
        <w:tblLook w:firstColumn="1" w:firstRow="1" w:lastColumn="0" w:lastRow="0" w:noHBand="0" w:noVBand="1" w:val="04A0"/>
      </w:tblPr>
      <w:tblGrid>
        <w:gridCol w:w="2520"/>
        <w:gridCol w:w="2520"/>
        <w:gridCol w:w="2520"/>
        <w:gridCol w:w="2520"/>
      </w:tblGrid>
      <w:tr>
        <w:tc>
          <w:tcPr>
            <w:tcW w:type="dxa" w:w="2304"/>
            <w:shd w:fill="1F497D"/>
          </w:tcPr>
          <w:p>
            <w:pPr>
              <w:jc w:val="center"/>
            </w:pPr>
            <w:r>
              <w:rPr>
                <w:rFonts w:ascii="Times New Roman" w:hAnsi="Times New Roman"/>
                <w:b/>
                <w:color w:val="FFFFFF"/>
                <w:sz w:val="15"/>
              </w:rPr>
              <w:t>Modality Subset</w:t>
            </w:r>
          </w:p>
        </w:tc>
        <w:tc>
          <w:tcPr>
            <w:tcW w:type="dxa" w:w="720"/>
            <w:shd w:fill="1F497D"/>
          </w:tcPr>
          <w:p>
            <w:pPr>
              <w:jc w:val="center"/>
            </w:pPr>
            <w:r>
              <w:rPr>
                <w:rFonts w:ascii="Times New Roman" w:hAnsi="Times New Roman"/>
                <w:b/>
                <w:color w:val="FFFFFF"/>
                <w:sz w:val="15"/>
              </w:rPr>
              <w:t>Dim</w:t>
            </w:r>
          </w:p>
        </w:tc>
        <w:tc>
          <w:tcPr>
            <w:tcW w:type="dxa" w:w="864"/>
            <w:shd w:fill="1F497D"/>
          </w:tcPr>
          <w:p>
            <w:pPr>
              <w:jc w:val="center"/>
            </w:pPr>
            <w:r>
              <w:rPr>
                <w:rFonts w:ascii="Times New Roman" w:hAnsi="Times New Roman"/>
                <w:b/>
                <w:color w:val="FFFFFF"/>
                <w:sz w:val="15"/>
              </w:rPr>
              <w:t>Accuracy</w:t>
            </w:r>
          </w:p>
        </w:tc>
        <w:tc>
          <w:tcPr>
            <w:tcW w:type="dxa" w:w="864"/>
            <w:shd w:fill="1F497D"/>
          </w:tcPr>
          <w:p>
            <w:pPr>
              <w:jc w:val="center"/>
            </w:pPr>
            <w:r>
              <w:rPr>
                <w:rFonts w:ascii="Times New Roman" w:hAnsi="Times New Roman"/>
                <w:b/>
                <w:color w:val="FFFFFF"/>
                <w:sz w:val="15"/>
              </w:rPr>
              <w:t>F1-Score</w:t>
            </w:r>
          </w:p>
        </w:tc>
      </w:tr>
      <w:tr>
        <w:tc>
          <w:tcPr>
            <w:tcW w:type="dxa" w:w="2304"/>
          </w:tcPr>
          <w:p>
            <w:pPr>
              <w:jc w:val="left"/>
            </w:pPr>
            <w:r>
              <w:rPr>
                <w:rFonts w:ascii="Times New Roman" w:hAnsi="Times New Roman"/>
                <w:sz w:val="15"/>
              </w:rPr>
              <w:t>All Features (Fusion)</w:t>
            </w:r>
          </w:p>
        </w:tc>
        <w:tc>
          <w:tcPr>
            <w:tcW w:type="dxa" w:w="720"/>
          </w:tcPr>
          <w:p>
            <w:pPr>
              <w:jc w:val="center"/>
            </w:pPr>
            <w:r>
              <w:rPr>
                <w:rFonts w:ascii="Times New Roman" w:hAnsi="Times New Roman"/>
                <w:sz w:val="15"/>
              </w:rPr>
              <w:t>174</w:t>
            </w:r>
          </w:p>
        </w:tc>
        <w:tc>
          <w:tcPr>
            <w:tcW w:type="dxa" w:w="864"/>
          </w:tcPr>
          <w:p>
            <w:pPr>
              <w:jc w:val="center"/>
            </w:pPr>
            <w:r>
              <w:rPr>
                <w:rFonts w:ascii="Times New Roman" w:hAnsi="Times New Roman"/>
                <w:sz w:val="15"/>
              </w:rPr>
              <w:t>80.65%</w:t>
            </w:r>
          </w:p>
        </w:tc>
        <w:tc>
          <w:tcPr>
            <w:tcW w:type="dxa" w:w="864"/>
          </w:tcPr>
          <w:p>
            <w:pPr>
              <w:jc w:val="center"/>
            </w:pPr>
            <w:r>
              <w:rPr>
                <w:rFonts w:ascii="Times New Roman" w:hAnsi="Times New Roman"/>
                <w:sz w:val="15"/>
              </w:rPr>
              <w:t>80.42%</w:t>
            </w:r>
          </w:p>
        </w:tc>
      </w:tr>
      <w:tr>
        <w:tc>
          <w:tcPr>
            <w:tcW w:type="dxa" w:w="2304"/>
            <w:shd w:fill="F2F5F8"/>
          </w:tcPr>
          <w:p>
            <w:pPr>
              <w:jc w:val="left"/>
            </w:pPr>
            <w:r>
              <w:rPr>
                <w:rFonts w:ascii="Times New Roman" w:hAnsi="Times New Roman"/>
                <w:sz w:val="15"/>
              </w:rPr>
              <w:t>Physiological Only</w:t>
            </w:r>
          </w:p>
        </w:tc>
        <w:tc>
          <w:tcPr>
            <w:tcW w:type="dxa" w:w="720"/>
            <w:shd w:fill="F2F5F8"/>
          </w:tcPr>
          <w:p>
            <w:pPr>
              <w:jc w:val="center"/>
            </w:pPr>
            <w:r>
              <w:rPr>
                <w:rFonts w:ascii="Times New Roman" w:hAnsi="Times New Roman"/>
                <w:sz w:val="15"/>
              </w:rPr>
              <w:t>7</w:t>
            </w:r>
          </w:p>
        </w:tc>
        <w:tc>
          <w:tcPr>
            <w:tcW w:type="dxa" w:w="864"/>
            <w:shd w:fill="F2F5F8"/>
          </w:tcPr>
          <w:p>
            <w:pPr>
              <w:jc w:val="center"/>
            </w:pPr>
            <w:r>
              <w:rPr>
                <w:rFonts w:ascii="Times New Roman" w:hAnsi="Times New Roman"/>
                <w:sz w:val="15"/>
              </w:rPr>
              <w:t>78.21%</w:t>
            </w:r>
          </w:p>
        </w:tc>
        <w:tc>
          <w:tcPr>
            <w:tcW w:type="dxa" w:w="864"/>
            <w:shd w:fill="F2F5F8"/>
          </w:tcPr>
          <w:p>
            <w:pPr>
              <w:jc w:val="center"/>
            </w:pPr>
            <w:r>
              <w:rPr>
                <w:rFonts w:ascii="Times New Roman" w:hAnsi="Times New Roman"/>
                <w:sz w:val="15"/>
              </w:rPr>
              <w:t>78.35%</w:t>
            </w:r>
          </w:p>
        </w:tc>
      </w:tr>
      <w:tr>
        <w:tc>
          <w:tcPr>
            <w:tcW w:type="dxa" w:w="2304"/>
          </w:tcPr>
          <w:p>
            <w:pPr>
              <w:jc w:val="left"/>
            </w:pPr>
            <w:r>
              <w:rPr>
                <w:rFonts w:ascii="Times New Roman" w:hAnsi="Times New Roman"/>
                <w:sz w:val="15"/>
              </w:rPr>
              <w:t>All Tongue Features</w:t>
            </w:r>
          </w:p>
        </w:tc>
        <w:tc>
          <w:tcPr>
            <w:tcW w:type="dxa" w:w="720"/>
          </w:tcPr>
          <w:p>
            <w:pPr>
              <w:jc w:val="center"/>
            </w:pPr>
            <w:r>
              <w:rPr>
                <w:rFonts w:ascii="Times New Roman" w:hAnsi="Times New Roman"/>
                <w:sz w:val="15"/>
              </w:rPr>
              <w:t>167</w:t>
            </w:r>
          </w:p>
        </w:tc>
        <w:tc>
          <w:tcPr>
            <w:tcW w:type="dxa" w:w="864"/>
          </w:tcPr>
          <w:p>
            <w:pPr>
              <w:jc w:val="center"/>
            </w:pPr>
            <w:r>
              <w:rPr>
                <w:rFonts w:ascii="Times New Roman" w:hAnsi="Times New Roman"/>
                <w:sz w:val="15"/>
              </w:rPr>
              <w:t>64.10%</w:t>
            </w:r>
          </w:p>
        </w:tc>
        <w:tc>
          <w:tcPr>
            <w:tcW w:type="dxa" w:w="864"/>
          </w:tcPr>
          <w:p>
            <w:pPr>
              <w:jc w:val="center"/>
            </w:pPr>
            <w:r>
              <w:rPr>
                <w:rFonts w:ascii="Times New Roman" w:hAnsi="Times New Roman"/>
                <w:sz w:val="15"/>
              </w:rPr>
              <w:t>64.15%</w:t>
            </w:r>
          </w:p>
        </w:tc>
      </w:tr>
      <w:tr>
        <w:tc>
          <w:tcPr>
            <w:tcW w:type="dxa" w:w="2304"/>
            <w:shd w:fill="F2F5F8"/>
          </w:tcPr>
          <w:p>
            <w:pPr>
              <w:jc w:val="left"/>
            </w:pPr>
            <w:r>
              <w:rPr>
                <w:rFonts w:ascii="Times New Roman" w:hAnsi="Times New Roman"/>
                <w:sz w:val="15"/>
              </w:rPr>
              <w:t>Image + Blood Pressure</w:t>
            </w:r>
          </w:p>
        </w:tc>
        <w:tc>
          <w:tcPr>
            <w:tcW w:type="dxa" w:w="720"/>
            <w:shd w:fill="F2F5F8"/>
          </w:tcPr>
          <w:p>
            <w:pPr>
              <w:jc w:val="center"/>
            </w:pPr>
            <w:r>
              <w:rPr>
                <w:rFonts w:ascii="Times New Roman" w:hAnsi="Times New Roman"/>
                <w:sz w:val="15"/>
              </w:rPr>
              <w:t>169</w:t>
            </w:r>
          </w:p>
        </w:tc>
        <w:tc>
          <w:tcPr>
            <w:tcW w:type="dxa" w:w="864"/>
            <w:shd w:fill="F2F5F8"/>
          </w:tcPr>
          <w:p>
            <w:pPr>
              <w:jc w:val="center"/>
            </w:pPr>
            <w:r>
              <w:rPr>
                <w:rFonts w:ascii="Times New Roman" w:hAnsi="Times New Roman"/>
                <w:sz w:val="15"/>
              </w:rPr>
              <w:t>72.49%</w:t>
            </w:r>
          </w:p>
        </w:tc>
        <w:tc>
          <w:tcPr>
            <w:tcW w:type="dxa" w:w="864"/>
            <w:shd w:fill="F2F5F8"/>
          </w:tcPr>
          <w:p>
            <w:pPr>
              <w:jc w:val="center"/>
            </w:pPr>
            <w:r>
              <w:rPr>
                <w:rFonts w:ascii="Times New Roman" w:hAnsi="Times New Roman"/>
                <w:sz w:val="15"/>
              </w:rPr>
              <w:t>72.63%</w:t>
            </w:r>
          </w:p>
        </w:tc>
      </w:tr>
      <w:tr>
        <w:tc>
          <w:tcPr>
            <w:tcW w:type="dxa" w:w="2304"/>
          </w:tcPr>
          <w:p>
            <w:pPr>
              <w:jc w:val="left"/>
            </w:pPr>
            <w:r>
              <w:rPr>
                <w:rFonts w:ascii="Times New Roman" w:hAnsi="Times New Roman"/>
                <w:sz w:val="15"/>
              </w:rPr>
              <w:t>Image + Anthropometrics</w:t>
            </w:r>
          </w:p>
        </w:tc>
        <w:tc>
          <w:tcPr>
            <w:tcW w:type="dxa" w:w="720"/>
          </w:tcPr>
          <w:p>
            <w:pPr>
              <w:jc w:val="center"/>
            </w:pPr>
            <w:r>
              <w:rPr>
                <w:rFonts w:ascii="Times New Roman" w:hAnsi="Times New Roman"/>
                <w:sz w:val="15"/>
              </w:rPr>
              <w:t>171</w:t>
            </w:r>
          </w:p>
        </w:tc>
        <w:tc>
          <w:tcPr>
            <w:tcW w:type="dxa" w:w="864"/>
          </w:tcPr>
          <w:p>
            <w:pPr>
              <w:jc w:val="center"/>
            </w:pPr>
            <w:r>
              <w:rPr>
                <w:rFonts w:ascii="Times New Roman" w:hAnsi="Times New Roman"/>
                <w:sz w:val="15"/>
              </w:rPr>
              <w:t>76.92%</w:t>
            </w:r>
          </w:p>
        </w:tc>
        <w:tc>
          <w:tcPr>
            <w:tcW w:type="dxa" w:w="864"/>
          </w:tcPr>
          <w:p>
            <w:pPr>
              <w:jc w:val="center"/>
            </w:pPr>
            <w:r>
              <w:rPr>
                <w:rFonts w:ascii="Times New Roman" w:hAnsi="Times New Roman"/>
                <w:sz w:val="15"/>
              </w:rPr>
              <w:t>77.01%</w:t>
            </w:r>
          </w:p>
        </w:tc>
      </w:tr>
      <w:tr>
        <w:tc>
          <w:tcPr>
            <w:tcW w:type="dxa" w:w="2304"/>
            <w:shd w:fill="F2F5F8"/>
          </w:tcPr>
          <w:p>
            <w:pPr>
              <w:jc w:val="left"/>
            </w:pPr>
            <w:r>
              <w:rPr>
                <w:rFonts w:ascii="Times New Roman" w:hAnsi="Times New Roman"/>
                <w:sz w:val="15"/>
              </w:rPr>
              <w:t>Color Features Only</w:t>
            </w:r>
          </w:p>
        </w:tc>
        <w:tc>
          <w:tcPr>
            <w:tcW w:type="dxa" w:w="720"/>
            <w:shd w:fill="F2F5F8"/>
          </w:tcPr>
          <w:p>
            <w:pPr>
              <w:jc w:val="center"/>
            </w:pPr>
            <w:r>
              <w:rPr>
                <w:rFonts w:ascii="Times New Roman" w:hAnsi="Times New Roman"/>
                <w:sz w:val="15"/>
              </w:rPr>
              <w:t>72</w:t>
            </w:r>
          </w:p>
        </w:tc>
        <w:tc>
          <w:tcPr>
            <w:tcW w:type="dxa" w:w="864"/>
            <w:shd w:fill="F2F5F8"/>
          </w:tcPr>
          <w:p>
            <w:pPr>
              <w:jc w:val="center"/>
            </w:pPr>
            <w:r>
              <w:rPr>
                <w:rFonts w:ascii="Times New Roman" w:hAnsi="Times New Roman"/>
                <w:sz w:val="15"/>
              </w:rPr>
              <w:t>61.89%</w:t>
            </w:r>
          </w:p>
        </w:tc>
        <w:tc>
          <w:tcPr>
            <w:tcW w:type="dxa" w:w="864"/>
            <w:shd w:fill="F2F5F8"/>
          </w:tcPr>
          <w:p>
            <w:pPr>
              <w:jc w:val="center"/>
            </w:pPr>
            <w:r>
              <w:rPr>
                <w:rFonts w:ascii="Times New Roman" w:hAnsi="Times New Roman"/>
                <w:sz w:val="15"/>
              </w:rPr>
              <w:t>61.92%</w:t>
            </w:r>
          </w:p>
        </w:tc>
      </w:tr>
      <w:tr>
        <w:tc>
          <w:tcPr>
            <w:tcW w:type="dxa" w:w="2304"/>
          </w:tcPr>
          <w:p>
            <w:pPr>
              <w:jc w:val="left"/>
            </w:pPr>
            <w:r>
              <w:rPr>
                <w:rFonts w:ascii="Times New Roman" w:hAnsi="Times New Roman"/>
                <w:sz w:val="15"/>
              </w:rPr>
              <w:t>Texture Descriptors Only</w:t>
            </w:r>
          </w:p>
        </w:tc>
        <w:tc>
          <w:tcPr>
            <w:tcW w:type="dxa" w:w="720"/>
          </w:tcPr>
          <w:p>
            <w:pPr>
              <w:jc w:val="center"/>
            </w:pPr>
            <w:r>
              <w:rPr>
                <w:rFonts w:ascii="Times New Roman" w:hAnsi="Times New Roman"/>
                <w:sz w:val="15"/>
              </w:rPr>
              <w:t>64</w:t>
            </w:r>
          </w:p>
        </w:tc>
        <w:tc>
          <w:tcPr>
            <w:tcW w:type="dxa" w:w="864"/>
          </w:tcPr>
          <w:p>
            <w:pPr>
              <w:jc w:val="center"/>
            </w:pPr>
            <w:r>
              <w:rPr>
                <w:rFonts w:ascii="Times New Roman" w:hAnsi="Times New Roman"/>
                <w:sz w:val="15"/>
              </w:rPr>
              <w:t>59.44%</w:t>
            </w:r>
          </w:p>
        </w:tc>
        <w:tc>
          <w:tcPr>
            <w:tcW w:type="dxa" w:w="864"/>
          </w:tcPr>
          <w:p>
            <w:pPr>
              <w:jc w:val="center"/>
            </w:pPr>
            <w:r>
              <w:rPr>
                <w:rFonts w:ascii="Times New Roman" w:hAnsi="Times New Roman"/>
                <w:sz w:val="15"/>
              </w:rPr>
              <w:t>59.50%</w:t>
            </w:r>
          </w:p>
        </w:tc>
      </w:tr>
      <w:tr>
        <w:tc>
          <w:tcPr>
            <w:tcW w:type="dxa" w:w="2304"/>
            <w:shd w:fill="F2F5F8"/>
          </w:tcPr>
          <w:p>
            <w:pPr>
              <w:jc w:val="left"/>
            </w:pPr>
            <w:r>
              <w:rPr>
                <w:rFonts w:ascii="Times New Roman" w:hAnsi="Times New Roman"/>
                <w:sz w:val="15"/>
              </w:rPr>
              <w:t>Coating Indices Only</w:t>
            </w:r>
          </w:p>
        </w:tc>
        <w:tc>
          <w:tcPr>
            <w:tcW w:type="dxa" w:w="720"/>
            <w:shd w:fill="F2F5F8"/>
          </w:tcPr>
          <w:p>
            <w:pPr>
              <w:jc w:val="center"/>
            </w:pPr>
            <w:r>
              <w:rPr>
                <w:rFonts w:ascii="Times New Roman" w:hAnsi="Times New Roman"/>
                <w:sz w:val="15"/>
              </w:rPr>
              <w:t>16</w:t>
            </w:r>
          </w:p>
        </w:tc>
        <w:tc>
          <w:tcPr>
            <w:tcW w:type="dxa" w:w="864"/>
            <w:shd w:fill="F2F5F8"/>
          </w:tcPr>
          <w:p>
            <w:pPr>
              <w:jc w:val="center"/>
            </w:pPr>
            <w:r>
              <w:rPr>
                <w:rFonts w:ascii="Times New Roman" w:hAnsi="Times New Roman"/>
                <w:sz w:val="15"/>
              </w:rPr>
              <w:t>58.16%</w:t>
            </w:r>
          </w:p>
        </w:tc>
        <w:tc>
          <w:tcPr>
            <w:tcW w:type="dxa" w:w="864"/>
            <w:shd w:fill="F2F5F8"/>
          </w:tcPr>
          <w:p>
            <w:pPr>
              <w:jc w:val="center"/>
            </w:pPr>
            <w:r>
              <w:rPr>
                <w:rFonts w:ascii="Times New Roman" w:hAnsi="Times New Roman"/>
                <w:sz w:val="15"/>
              </w:rPr>
              <w:t>58.21%</w:t>
            </w:r>
          </w:p>
        </w:tc>
      </w:tr>
      <w:tr>
        <w:tc>
          <w:tcPr>
            <w:tcW w:type="dxa" w:w="2304"/>
          </w:tcPr>
          <w:p>
            <w:pPr>
              <w:jc w:val="left"/>
            </w:pPr>
            <w:r>
              <w:rPr>
                <w:rFonts w:ascii="Times New Roman" w:hAnsi="Times New Roman"/>
                <w:sz w:val="15"/>
              </w:rPr>
              <w:t>Hu Shape Moments Only</w:t>
            </w:r>
          </w:p>
        </w:tc>
        <w:tc>
          <w:tcPr>
            <w:tcW w:type="dxa" w:w="720"/>
          </w:tcPr>
          <w:p>
            <w:pPr>
              <w:jc w:val="center"/>
            </w:pPr>
            <w:r>
              <w:rPr>
                <w:rFonts w:ascii="Times New Roman" w:hAnsi="Times New Roman"/>
                <w:sz w:val="15"/>
              </w:rPr>
              <w:t>15</w:t>
            </w:r>
          </w:p>
        </w:tc>
        <w:tc>
          <w:tcPr>
            <w:tcW w:type="dxa" w:w="864"/>
          </w:tcPr>
          <w:p>
            <w:pPr>
              <w:jc w:val="center"/>
            </w:pPr>
            <w:r>
              <w:rPr>
                <w:rFonts w:ascii="Times New Roman" w:hAnsi="Times New Roman"/>
                <w:sz w:val="15"/>
              </w:rPr>
              <w:t>54.78%</w:t>
            </w:r>
          </w:p>
        </w:tc>
        <w:tc>
          <w:tcPr>
            <w:tcW w:type="dxa" w:w="864"/>
          </w:tcPr>
          <w:p>
            <w:pPr>
              <w:jc w:val="center"/>
            </w:pPr>
            <w:r>
              <w:rPr>
                <w:rFonts w:ascii="Times New Roman" w:hAnsi="Times New Roman"/>
                <w:sz w:val="15"/>
              </w:rPr>
              <w:t>54.82%</w:t>
            </w:r>
          </w:p>
        </w:tc>
      </w:tr>
    </w:tbl>
    <w:p>
      <w:pPr>
        <w:spacing w:before="120" w:after="40"/>
        <w:jc w:val="center"/>
      </w:pPr>
      <w:r>
        <w:drawing>
          <wp:inline xmlns:a="http://schemas.openxmlformats.org/drawingml/2006/main" xmlns:pic="http://schemas.openxmlformats.org/drawingml/2006/picture">
            <wp:extent cx="3017520" cy="1293223"/>
            <wp:docPr id="11" name="Picture 11"/>
            <wp:cNvGraphicFramePr>
              <a:graphicFrameLocks noChangeAspect="1"/>
            </wp:cNvGraphicFramePr>
            <a:graphic>
              <a:graphicData uri="http://schemas.openxmlformats.org/drawingml/2006/picture">
                <pic:pic>
                  <pic:nvPicPr>
                    <pic:cNvPr id="0" name="ablation_chart.png"/>
                    <pic:cNvPicPr/>
                  </pic:nvPicPr>
                  <pic:blipFill>
                    <a:blip r:embed="rId19"/>
                    <a:stretch>
                      <a:fillRect/>
                    </a:stretch>
                  </pic:blipFill>
                  <pic:spPr>
                    <a:xfrm>
                      <a:off x="0" y="0"/>
                      <a:ext cx="3017520" cy="1293223"/>
                    </a:xfrm>
                    <a:prstGeom prst="rect"/>
                  </pic:spPr>
                </pic:pic>
              </a:graphicData>
            </a:graphic>
          </wp:inline>
        </w:drawing>
      </w:r>
    </w:p>
    <w:p>
      <w:pPr>
        <w:spacing w:before="40" w:after="140"/>
        <w:jc w:val="center"/>
      </w:pPr>
      <w:r>
        <w:rPr>
          <w:rFonts w:ascii="Times New Roman" w:hAnsi="Times New Roman"/>
          <w:b/>
          <w:sz w:val="16"/>
        </w:rPr>
        <w:t>Fig. 11. Empirical feature modality ablation study comparing multimodal fusion against isolated feature subsets.</w:t>
      </w:r>
    </w:p>
    <w:p>
      <w:pPr>
        <w:spacing w:before="0" w:after="60" w:line="252" w:lineRule="auto"/>
        <w:jc w:val="both"/>
      </w:pPr>
      <w:r>
        <w:rPr>
          <w:rFonts w:ascii="Times New Roman" w:hAnsi="Times New Roman"/>
          <w:sz w:val="19"/>
        </w:rPr>
        <w:t>Critical Analysis of Ablation Results: The ablation data reveals a fundamental clinical insight: physiological biomarkers alone achieve 78.21% accuracy, whereas tongue image features alone achieve 64.10% accuracy. This indicates that systemic metabolic dysfunction (elevated BMI, waist circumference, and hypertension) serves as the primary driver of fatty liver pathology. However, integrating tongue morphological features with physiological indicators elevates test accuracy to 80.65% (+2.44% absolute increase) and expands the ROC-AUC from 0.842 to 0.8801. Tongue biomarkers provide vital non-linear phenotypic evidence of microvascular congestion and lingual mucosal inflammation that physiological parameters alone cannot capture.</w:t>
      </w:r>
    </w:p>
    <w:p>
      <w:pPr>
        <w:spacing w:before="140" w:after="40"/>
        <w:jc w:val="left"/>
      </w:pPr>
      <w:r>
        <w:rPr>
          <w:rFonts w:ascii="Times New Roman" w:hAnsi="Times New Roman"/>
          <w:b/>
          <w:i/>
          <w:sz w:val="19"/>
        </w:rPr>
        <w:t>B. Explainable AI: SHAP &amp; Permutation Importance</w:t>
      </w:r>
    </w:p>
    <w:p>
      <w:pPr>
        <w:spacing w:before="0" w:after="60" w:line="252" w:lineRule="auto"/>
        <w:jc w:val="both"/>
      </w:pPr>
      <w:r>
        <w:rPr>
          <w:rFonts w:ascii="Times New Roman" w:hAnsi="Times New Roman"/>
          <w:sz w:val="19"/>
        </w:rPr>
        <w:t>To establish clinical trust and satisfy regulatory transparency standards for medical AI, we computed Shapley Additive exPlanations (SHAP) using TreeSHAP on our best gradient boosted models. Fig. 12 illustrates the global SHAP summary plot.</w:t>
      </w:r>
    </w:p>
    <w:p>
      <w:pPr>
        <w:spacing w:before="120" w:after="40"/>
        <w:jc w:val="center"/>
      </w:pPr>
      <w:r>
        <w:drawing>
          <wp:inline xmlns:a="http://schemas.openxmlformats.org/drawingml/2006/main" xmlns:pic="http://schemas.openxmlformats.org/drawingml/2006/picture">
            <wp:extent cx="3017520" cy="3583305"/>
            <wp:docPr id="12" name="Picture 12"/>
            <wp:cNvGraphicFramePr>
              <a:graphicFrameLocks noChangeAspect="1"/>
            </wp:cNvGraphicFramePr>
            <a:graphic>
              <a:graphicData uri="http://schemas.openxmlformats.org/drawingml/2006/picture">
                <pic:pic>
                  <pic:nvPicPr>
                    <pic:cNvPr id="0" name="shap_summary.png"/>
                    <pic:cNvPicPr/>
                  </pic:nvPicPr>
                  <pic:blipFill>
                    <a:blip r:embed="rId20"/>
                    <a:stretch>
                      <a:fillRect/>
                    </a:stretch>
                  </pic:blipFill>
                  <pic:spPr>
                    <a:xfrm>
                      <a:off x="0" y="0"/>
                      <a:ext cx="3017520" cy="3583305"/>
                    </a:xfrm>
                    <a:prstGeom prst="rect"/>
                  </pic:spPr>
                </pic:pic>
              </a:graphicData>
            </a:graphic>
          </wp:inline>
        </w:drawing>
      </w:r>
    </w:p>
    <w:p>
      <w:pPr>
        <w:spacing w:before="40" w:after="140"/>
        <w:jc w:val="center"/>
      </w:pPr>
      <w:r>
        <w:rPr>
          <w:rFonts w:ascii="Times New Roman" w:hAnsi="Times New Roman"/>
          <w:b/>
          <w:sz w:val="16"/>
        </w:rPr>
        <w:t>Fig. 12. TreeSHAP global feature attribution summary revealing the top predictive biomarkers driving fatty liver risk.</w:t>
      </w:r>
    </w:p>
    <w:p>
      <w:pPr>
        <w:spacing w:before="120" w:after="40"/>
        <w:jc w:val="center"/>
      </w:pPr>
      <w:r>
        <w:drawing>
          <wp:inline xmlns:a="http://schemas.openxmlformats.org/drawingml/2006/main" xmlns:pic="http://schemas.openxmlformats.org/drawingml/2006/picture">
            <wp:extent cx="3017520" cy="2121389"/>
            <wp:docPr id="13" name="Picture 13"/>
            <wp:cNvGraphicFramePr>
              <a:graphicFrameLocks noChangeAspect="1"/>
            </wp:cNvGraphicFramePr>
            <a:graphic>
              <a:graphicData uri="http://schemas.openxmlformats.org/drawingml/2006/picture">
                <pic:pic>
                  <pic:nvPicPr>
                    <pic:cNvPr id="0" name="permutation_importance.png"/>
                    <pic:cNvPicPr/>
                  </pic:nvPicPr>
                  <pic:blipFill>
                    <a:blip r:embed="rId21"/>
                    <a:stretch>
                      <a:fillRect/>
                    </a:stretch>
                  </pic:blipFill>
                  <pic:spPr>
                    <a:xfrm>
                      <a:off x="0" y="0"/>
                      <a:ext cx="3017520" cy="2121389"/>
                    </a:xfrm>
                    <a:prstGeom prst="rect"/>
                  </pic:spPr>
                </pic:pic>
              </a:graphicData>
            </a:graphic>
          </wp:inline>
        </w:drawing>
      </w:r>
    </w:p>
    <w:p>
      <w:pPr>
        <w:spacing w:before="40" w:after="140"/>
        <w:jc w:val="center"/>
      </w:pPr>
      <w:r>
        <w:rPr>
          <w:rFonts w:ascii="Times New Roman" w:hAnsi="Times New Roman"/>
          <w:b/>
          <w:sz w:val="16"/>
        </w:rPr>
        <w:t>Fig. 13. Permutation feature importance analysis confirming feature stability under random feature shuffling.</w:t>
      </w:r>
    </w:p>
    <w:p>
      <w:pPr>
        <w:spacing w:before="0" w:after="60" w:line="252" w:lineRule="auto"/>
        <w:jc w:val="both"/>
      </w:pPr>
      <w:r>
        <w:rPr>
          <w:rFonts w:ascii="Times New Roman" w:hAnsi="Times New Roman"/>
          <w:sz w:val="19"/>
        </w:rPr>
        <w:t>Clinical Pathophysiological Alignment: The SHAP analysis confirms that Body Mass Index (BMI), Waist Circumference, and Systolic Blood Pressure (SBP) exhibit the largest positive Shapley values, directly reflecting visceral adiposity and insulin resistance. Crucially, among lingual biomarkers, the CIE-b* channel mean (yellow coating hue), tongue coating thickness index, and GLCM contrast were ranked within the top 15 most influential predictors. Elevated yellow coating values strongly correlate with higher FLD risk, corroborating clinical observations that metabolic dysbiosis and hepatic lipid accumulation promote oral microbial colonization and mucosal epithelial cornification.</w:t>
      </w:r>
    </w:p>
    <w:p>
      <w:pPr>
        <w:spacing w:before="220" w:after="60"/>
        <w:jc w:val="center"/>
      </w:pPr>
      <w:r>
        <w:rPr>
          <w:rFonts w:ascii="Times New Roman" w:hAnsi="Times New Roman"/>
          <w:b/>
          <w:sz w:val="20"/>
        </w:rPr>
        <w:t>VII. CONCLUSION AND FUTURE SCOPE</w:t>
      </w:r>
    </w:p>
    <w:p>
      <w:pPr>
        <w:spacing w:before="0" w:after="60" w:line="252" w:lineRule="auto"/>
        <w:jc w:val="both"/>
      </w:pPr>
      <w:r>
        <w:rPr>
          <w:rFonts w:ascii="Times New Roman" w:hAnsi="Times New Roman"/>
          <w:sz w:val="19"/>
        </w:rPr>
        <w:t>In this investigation, we developed and validated FLD-Screen, an automated multimodal screening framework for non-invasive detection of Fatty Liver Disease. By bridging computerized lingual image analysis with standard physiological indicators across 5,717 patients, our Stacking Ensemble achieved 80.65% diagnostic accuracy and 0.8801 ROC-AUC. Rigorous ablation and SHAP analyses confirmed that tongue morphology provides meaningful, clinically grounded complementary markers of hepatic metabolic dysfunction. Future research will explore prospective multi-center clinical validation, smartphone-based point-of-care mobile acquisition with on-device color calibration, and longitudinal tracking of steatosis regression following lifestyle interventions.</w:t>
      </w:r>
    </w:p>
    <w:p>
      <w:pPr>
        <w:spacing w:before="220" w:after="60"/>
        <w:jc w:val="center"/>
      </w:pPr>
      <w:r>
        <w:rPr>
          <w:rFonts w:ascii="Times New Roman" w:hAnsi="Times New Roman"/>
          <w:b/>
          <w:sz w:val="20"/>
        </w:rPr>
        <w:t>REFERENCES</w:t>
      </w:r>
    </w:p>
    <w:p>
      <w:pPr>
        <w:spacing w:before="0" w:after="40" w:line="252" w:lineRule="auto"/>
        <w:jc w:val="both"/>
      </w:pPr>
      <w:r>
        <w:rPr>
          <w:rFonts w:ascii="Times New Roman" w:hAnsi="Times New Roman"/>
          <w:sz w:val="16"/>
        </w:rPr>
        <w:t>[1] Z. M. Younossi, A. B. Koenig, D. Abdelatif, Y. Fazel, L. Henry, and M. Wymer, 'Global epidemiology of nonalcoholic fatty liver disease—Meta-analytic assessment of prevalence, incidence, and outcomes,' Hepatology, vol. 64, no. 1, pp. 73–84, 2016.</w:t>
      </w:r>
    </w:p>
    <w:p>
      <w:pPr>
        <w:spacing w:before="0" w:after="40" w:line="252" w:lineRule="auto"/>
        <w:jc w:val="both"/>
      </w:pPr>
      <w:r>
        <w:rPr>
          <w:rFonts w:ascii="Times New Roman" w:hAnsi="Times New Roman"/>
          <w:sz w:val="16"/>
        </w:rPr>
        <w:t>[2] E. E. Powell, V. W. Wong, and M. Rinella, 'Non-alcoholic fatty liver disease,' The Lancet, vol. 397, no. 10290, pp. 2212–2224, 2021.</w:t>
      </w:r>
    </w:p>
    <w:p>
      <w:pPr>
        <w:spacing w:before="0" w:after="40" w:line="252" w:lineRule="auto"/>
        <w:jc w:val="both"/>
      </w:pPr>
      <w:r>
        <w:rPr>
          <w:rFonts w:ascii="Times New Roman" w:hAnsi="Times New Roman"/>
          <w:sz w:val="16"/>
        </w:rPr>
        <w:t>[3] D. C. Rockey, S. H. Caldwell, Z. D. Goodman, R. C. Nelson, and A. D. Smith, 'Liver biopsy,' Hepatology, vol. 49, no. 3, pp. 1017–1044, 2009.</w:t>
      </w:r>
    </w:p>
    <w:p>
      <w:pPr>
        <w:spacing w:before="0" w:after="40" w:line="252" w:lineRule="auto"/>
        <w:jc w:val="both"/>
      </w:pPr>
      <w:r>
        <w:rPr>
          <w:rFonts w:ascii="Times New Roman" w:hAnsi="Times New Roman"/>
          <w:sz w:val="16"/>
        </w:rPr>
        <w:t>[4] M. F. Cusi, K. Cusi, 'Role of obesity and lipotoxicity in the development of nonalcoholic steatohepatitis,' Endocrine Practice, vol. 20, no. 9, pp. 936–943, 2014.</w:t>
      </w:r>
    </w:p>
    <w:p>
      <w:pPr>
        <w:spacing w:before="0" w:after="40" w:line="252" w:lineRule="auto"/>
        <w:jc w:val="both"/>
      </w:pPr>
      <w:r>
        <w:rPr>
          <w:rFonts w:ascii="Times New Roman" w:hAnsi="Times New Roman"/>
          <w:sz w:val="16"/>
        </w:rPr>
        <w:t>[5] G. Bedogni, S. Bellentani, L. Miglioli, F. Masutti, M. Passador, G. Castiglione, and C. Tiribelli, 'The Fatty Liver Index: A simple and accurate predictor of hepatic steatosis in the general population,' BMC Gastroenterol., vol. 6, no. 1, p. 33, 2006.</w:t>
      </w:r>
    </w:p>
    <w:p>
      <w:pPr>
        <w:spacing w:before="0" w:after="40" w:line="252" w:lineRule="auto"/>
        <w:jc w:val="both"/>
      </w:pPr>
      <w:r>
        <w:rPr>
          <w:rFonts w:ascii="Times New Roman" w:hAnsi="Times New Roman"/>
          <w:sz w:val="16"/>
        </w:rPr>
        <w:t>[6] D. Zhang, Z. Guo, G. Lu, and N. M. B. J. Z. Zhang, 'Computerized Tongue Analysis for Medical Diagnosis,' IEEE Trans. Comput. Biol. Bioinform., vol. 14, no. 5, pp. 1120–1132, 2017.</w:t>
      </w:r>
    </w:p>
    <w:p>
      <w:pPr>
        <w:spacing w:before="0" w:after="40" w:line="252" w:lineRule="auto"/>
        <w:jc w:val="both"/>
      </w:pPr>
      <w:r>
        <w:rPr>
          <w:rFonts w:ascii="Times New Roman" w:hAnsi="Times New Roman"/>
          <w:sz w:val="16"/>
        </w:rPr>
        <w:t>[7] J. Tang, W. Zhang, and C. Sun, 'Tongue image analysis for clinical disease diagnosis: A comprehensive review,' IEEE Access, vol. 8, pp. 118420–118434, 2020.</w:t>
      </w:r>
    </w:p>
    <w:p>
      <w:pPr>
        <w:spacing w:before="0" w:after="40" w:line="252" w:lineRule="auto"/>
        <w:jc w:val="both"/>
      </w:pPr>
      <w:r>
        <w:rPr>
          <w:rFonts w:ascii="Times New Roman" w:hAnsi="Times New Roman"/>
          <w:sz w:val="16"/>
        </w:rPr>
        <w:t>[8] X. Wang, B. Zhang, and Z. Liu, 'Investigation of tongue coating characteristics in patients with non-alcoholic fatty liver disease based on computerized chromatic analysis,' Evid.-Based Complement. Altern. Med., vol. 2019, Art. no. 4819273, 2019.</w:t>
      </w:r>
    </w:p>
    <w:p>
      <w:pPr>
        <w:spacing w:before="0" w:after="40" w:line="252" w:lineRule="auto"/>
        <w:jc w:val="both"/>
      </w:pPr>
      <w:r>
        <w:rPr>
          <w:rFonts w:ascii="Times New Roman" w:hAnsi="Times New Roman"/>
          <w:sz w:val="16"/>
        </w:rPr>
        <w:t>[9] D. Zhang, H. Peng, and B. Huang, 'Computerized tongue image feature extraction and analysis,' in Proc. IEEE Int. Conf. Bioinform. Biomed. (BIBM), 2015, pp. 450–456.</w:t>
      </w:r>
    </w:p>
    <w:p>
      <w:pPr>
        <w:spacing w:before="0" w:after="40" w:line="252" w:lineRule="auto"/>
        <w:jc w:val="both"/>
      </w:pPr>
      <w:r>
        <w:rPr>
          <w:rFonts w:ascii="Times New Roman" w:hAnsi="Times New Roman"/>
          <w:sz w:val="16"/>
        </w:rPr>
        <w:t>[10] B. Huang, J. Wu, and D. Zhang, 'Tongue shape classification using geometric features and active contours,' in Proc. IEEE EMBC, 2018, pp. 2489–2492.</w:t>
      </w:r>
    </w:p>
    <w:p>
      <w:pPr>
        <w:spacing w:before="0" w:after="40" w:line="252" w:lineRule="auto"/>
        <w:jc w:val="both"/>
      </w:pPr>
      <w:r>
        <w:rPr>
          <w:rFonts w:ascii="Times New Roman" w:hAnsi="Times New Roman"/>
          <w:sz w:val="16"/>
        </w:rPr>
        <w:t>[11] Y. Li, J. Chen, and K. Wang, 'Diagnostic significance of tongue texture features using multi-scale Gabor wavelets and GLCM,' Comput. Biol. Med., vol. 112, p. 103362, 2019.</w:t>
      </w:r>
    </w:p>
    <w:p>
      <w:pPr>
        <w:spacing w:before="0" w:after="40" w:line="252" w:lineRule="auto"/>
        <w:jc w:val="both"/>
      </w:pPr>
      <w:r>
        <w:rPr>
          <w:rFonts w:ascii="Times New Roman" w:hAnsi="Times New Roman"/>
          <w:sz w:val="16"/>
        </w:rPr>
        <w:t>[12] R. Wang, Y. Zhang, and H. Xu, 'Correlation between metabolic syndrome and tongue diagnosis features in community health screening,' J. Tradit. Chin. Med. Sci., vol. 7, no. 2, pp. 145–152, 2020.</w:t>
      </w:r>
    </w:p>
    <w:p>
      <w:pPr>
        <w:spacing w:before="0" w:after="40" w:line="252" w:lineRule="auto"/>
        <w:jc w:val="both"/>
      </w:pPr>
      <w:r>
        <w:rPr>
          <w:rFonts w:ascii="Times New Roman" w:hAnsi="Times New Roman"/>
          <w:sz w:val="16"/>
        </w:rPr>
        <w:t>[13] Q. Liu, L. Zhao, and T. Hu, 'A deep learning approach for tongue color and coating segmentation,' IEEE J. Biomed. Health Inform., vol. 24, no. 8, pp. 2351–2360, 2020.</w:t>
      </w:r>
    </w:p>
    <w:p>
      <w:pPr>
        <w:spacing w:before="0" w:after="40" w:line="252" w:lineRule="auto"/>
        <w:jc w:val="both"/>
      </w:pPr>
      <w:r>
        <w:rPr>
          <w:rFonts w:ascii="Times New Roman" w:hAnsi="Times New Roman"/>
          <w:sz w:val="16"/>
        </w:rPr>
        <w:t>[14] M. E. Rinella, J. V. Lazarus, V. Ratziu, et al., 'A multi-society Delphi consensus statement on new fatty liver disease nomenclature,' Hepatology, vol. 78, no. 6, pp. 1966–1986, 2023.</w:t>
      </w:r>
    </w:p>
    <w:p>
      <w:pPr>
        <w:spacing w:before="0" w:after="40" w:line="252" w:lineRule="auto"/>
        <w:jc w:val="both"/>
      </w:pPr>
      <w:r>
        <w:rPr>
          <w:rFonts w:ascii="Times New Roman" w:hAnsi="Times New Roman"/>
          <w:sz w:val="16"/>
        </w:rPr>
        <w:t>[15] D. H. Wolpert, 'Stacked generalization,' Neural Networks, vol. 5, no. 2, pp. 241–259, 1992.</w:t>
      </w:r>
    </w:p>
    <w:p>
      <w:pPr>
        <w:spacing w:before="0" w:after="40" w:line="252" w:lineRule="auto"/>
        <w:jc w:val="both"/>
      </w:pPr>
      <w:r>
        <w:rPr>
          <w:rFonts w:ascii="Times New Roman" w:hAnsi="Times New Roman"/>
          <w:sz w:val="16"/>
        </w:rPr>
        <w:t>[16] MLDMXM2017, 'MFF-TDF: Multimodal Feature Fusion for Tongue-based Fatty Liver Diagnosis Dataset,' GitHub repository, 2024. [Online]. Available: https://github.com/MLDMXM2017/MFF-TDF</w:t>
      </w:r>
    </w:p>
    <w:p>
      <w:pPr>
        <w:spacing w:before="0" w:after="40" w:line="252" w:lineRule="auto"/>
        <w:jc w:val="both"/>
      </w:pPr>
      <w:r>
        <w:rPr>
          <w:rFonts w:ascii="Times New Roman" w:hAnsi="Times New Roman"/>
          <w:sz w:val="16"/>
        </w:rPr>
        <w:t>[17] T. Chen and C. Guestrin, 'XGBoost: A scalable tree boosting system,' in Proc. 22nd ACM SIGKDD Int. Conf. Knowl. Discov. Data Min., 2016, pp. 785–794.</w:t>
      </w:r>
    </w:p>
    <w:p>
      <w:pPr>
        <w:spacing w:before="0" w:after="40" w:line="252" w:lineRule="auto"/>
        <w:jc w:val="both"/>
      </w:pPr>
      <w:r>
        <w:rPr>
          <w:rFonts w:ascii="Times New Roman" w:hAnsi="Times New Roman"/>
          <w:sz w:val="16"/>
        </w:rPr>
        <w:t>[18] S. M. Lundberg and S.-I. Lee, 'A unified approach to interpreting model predictions,' in Adv. Neural Inf. Process. Syst. (NeurIPS), 2017, pp. 4765–4774.</w:t>
      </w:r>
    </w:p>
    <w:p>
      <w:pPr>
        <w:spacing w:before="0" w:after="40" w:line="252" w:lineRule="auto"/>
        <w:jc w:val="both"/>
      </w:pPr>
      <w:r>
        <w:rPr>
          <w:rFonts w:ascii="Times New Roman" w:hAnsi="Times New Roman"/>
          <w:sz w:val="16"/>
        </w:rPr>
        <w:t>[19] F. Pedregosa et al., 'Scikit-learn: Machine learning in Python,' J. Mach. Learn. Res., vol. 12, pp. 2825–2830, 2011.</w:t>
      </w:r>
    </w:p>
    <w:p>
      <w:pPr>
        <w:spacing w:before="0" w:after="40" w:line="252" w:lineRule="auto"/>
        <w:jc w:val="both"/>
      </w:pPr>
      <w:r>
        <w:rPr>
          <w:rFonts w:ascii="Times New Roman" w:hAnsi="Times New Roman"/>
          <w:sz w:val="16"/>
        </w:rPr>
        <w:t>[20] R. M. Haralick, K. Shanmugam, and I. Dinstein, 'Textural features for image classification,' IEEE Trans. Syst., Man, Cybern., vol. SMC-3, no. 6, pp. 610–621, 1973.</w:t>
      </w:r>
    </w:p>
    <w:p>
      <w:pPr>
        <w:spacing w:before="0" w:after="40" w:line="252" w:lineRule="auto"/>
        <w:jc w:val="both"/>
      </w:pPr>
      <w:r>
        <w:rPr>
          <w:rFonts w:ascii="Times New Roman" w:hAnsi="Times New Roman"/>
          <w:sz w:val="16"/>
        </w:rPr>
        <w:t>[21] M. K. Hu, 'Visual pattern recognition by moment invariants,' IRE Trans. Inf. Theory, vol. 8, no. 2, pp. 179–187, 1962.</w:t>
      </w:r>
    </w:p>
    <w:p>
      <w:pPr>
        <w:spacing w:before="0" w:after="40" w:line="252" w:lineRule="auto"/>
        <w:jc w:val="both"/>
      </w:pPr>
      <w:r>
        <w:rPr>
          <w:rFonts w:ascii="Times New Roman" w:hAnsi="Times New Roman"/>
          <w:sz w:val="16"/>
        </w:rPr>
        <w:t>[22] K. Zuiderveld, 'Contrast limited adaptive histogram equalization,' in Graphics Gems IV, P. S. Heckbert, Ed. Academic Press, 1994, pp. 474–485.</w:t>
      </w:r>
    </w:p>
    <w:p>
      <w:pPr>
        <w:spacing w:before="0" w:after="40" w:line="252" w:lineRule="auto"/>
        <w:jc w:val="both"/>
      </w:pPr>
      <w:r>
        <w:rPr>
          <w:rFonts w:ascii="Times New Roman" w:hAnsi="Times New Roman"/>
          <w:sz w:val="16"/>
        </w:rPr>
        <w:t>[23] C. Cortes and V. Vapnik, 'Support-vector networks,' Machine Learning, vol. 20, no. 3, pp. 273–297, 1995.</w:t>
      </w:r>
    </w:p>
    <w:p>
      <w:pPr>
        <w:spacing w:before="0" w:after="40" w:line="252" w:lineRule="auto"/>
        <w:jc w:val="both"/>
      </w:pPr>
      <w:r>
        <w:rPr>
          <w:rFonts w:ascii="Times New Roman" w:hAnsi="Times New Roman"/>
          <w:sz w:val="16"/>
        </w:rPr>
        <w:t>[24] L. Breiman, 'Random forests,' Machine Learning, vol. 45, no. 1, pp. 5–32, 2001.</w:t>
      </w:r>
    </w:p>
    <w:p>
      <w:pPr>
        <w:spacing w:before="0" w:after="40" w:line="252" w:lineRule="auto"/>
        <w:jc w:val="both"/>
      </w:pPr>
      <w:r>
        <w:rPr>
          <w:rFonts w:ascii="Times New Roman" w:hAnsi="Times New Roman"/>
          <w:sz w:val="16"/>
        </w:rPr>
        <w:t>[25] J. H. Friedman, 'Greedy function approximation: A gradient boosting machine,' Ann. Statist., vol. 29, no. 5, pp. 1189–1232, 2001.</w:t>
      </w:r>
    </w:p>
    <w:sectPr w:rsidR="00FC693F" w:rsidRPr="0006063C" w:rsidSect="00034616">
      <w:type w:val="continuous"/>
      <w:pgSz w:w="12240" w:h="15840"/>
      <w:pgMar w:top="1080" w:right="1080" w:bottom="1080" w:left="1080" w:header="720" w:footer="720" w:gutter="0"/>
      <w:cols w:space="72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