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sz w:val="36"/>
        </w:rPr>
        <w:t>High-Throughput GPU-Accelerated Medical Image Preprocessing Using Shared-Memory Tiling and Multi-Stream Asynchronous Concurrency on CUDA</w:t>
      </w:r>
    </w:p>
    <w:p>
      <w:pPr>
        <w:spacing w:after="40"/>
        <w:jc w:val="center"/>
      </w:pPr>
      <w:r>
        <w:rPr>
          <w:rFonts w:ascii="Times New Roman" w:hAnsi="Times New Roman"/>
          <w:b/>
          <w:sz w:val="20"/>
        </w:rPr>
        <w:t>Author Team: Parallel Computing &amp; Medical AI Systems</w:t>
      </w:r>
    </w:p>
    <w:p>
      <w:pPr>
        <w:spacing w:after="240"/>
        <w:jc w:val="center"/>
      </w:pPr>
      <w:r>
        <w:rPr>
          <w:rFonts w:ascii="Times New Roman" w:hAnsi="Times New Roman"/>
          <w:i/>
          <w:sz w:val="18"/>
        </w:rPr>
        <w:t>High Performance Computing Laboratory, Department of Computer Science &amp; Engineering, 2026</w:t>
      </w:r>
    </w:p>
    <w:p>
      <w:pPr>
        <w:spacing w:after="80" w:line="276" w:lineRule="auto"/>
        <w:jc w:val="both"/>
      </w:pPr>
      <w:r>
        <w:rPr>
          <w:rFonts w:ascii="Times New Roman" w:hAnsi="Times New Roman"/>
          <w:b/>
          <w:sz w:val="19"/>
        </w:rPr>
        <w:t xml:space="preserve">Abstract— </w:t>
      </w:r>
      <w:r>
        <w:rPr>
          <w:rFonts w:ascii="Times New Roman" w:hAnsi="Times New Roman"/>
          <w:i/>
          <w:sz w:val="19"/>
        </w:rPr>
        <w:t>In high-throughput computerized clinical diagnostic screening systems, high-resolution medical image preprocessing represents the primary latency and computational bottleneck, frequently overwhelming sequential CPU execution. In this investigation, we design, implement, and empirically validate a massively parallel image preprocessing acceleration framework tailored for the FLD-Screen medical diagnostic engine using NVIDIA's Compute Unified Device Architecture (CUDA). We parallelize three essential biomedical spatial domain operators: 2D Gaussian smoothing (5×5, σ=1.0) with constant memory kernel caching, Sobel spatial gradient edge detection (3×3), and non-linear median filtering. To overcome global memory bandwidth saturation, we formulate an optimized 2D shared-memory tiling algorithm that loads halo boundary regions to eliminate redundant global memory roundtrips. Furthermore, to maximize device utilization during batch processing, we construct an asynchronous multi-stream concurrency pipeline that employs pinned host memory and asynchronous dual-copy engines to overlap Host-to-Device data transfers, kernel computation, and Device-to-Host transfers. Benchmarked on an NVIDIA GeForce RTX 4060 Laptop GPU (Ada Lovelace architecture, 3,072 CUDA cores) across resolutions ranging from 256×256 to 2048×2048 pixels, the proposed GPU implementation achieves an empirical speedup of up to 17.0× for Sobel gradient filtering (1.098 ms on GPU vs 18.642 ms on CPU). Multi-stream pipelining scales batch throughput to 789.9 images per second—a 7.46× throughput gain over synchronous execution. Bit-level numerical verification establishes peak signal-to-noise ratios (PSNR) exceeding 52 dB against OpenCV CPU reference baselines. Finally, we formulate an Amdahl's Law asymptotic boundary model revealing a 92% parallel fraction and quantify the memory bandwidth trade-offs governing clinical real-time deployment.</w:t>
      </w:r>
    </w:p>
    <w:p>
      <w:pPr>
        <w:spacing w:after="280"/>
        <w:jc w:val="both"/>
      </w:pPr>
      <w:r>
        <w:rPr>
          <w:rFonts w:ascii="Times New Roman" w:hAnsi="Times New Roman"/>
          <w:b/>
          <w:sz w:val="19"/>
        </w:rPr>
        <w:t xml:space="preserve">Index Terms— </w:t>
      </w:r>
      <w:r>
        <w:rPr>
          <w:rFonts w:ascii="Times New Roman" w:hAnsi="Times New Roman"/>
          <w:sz w:val="19"/>
        </w:rPr>
        <w:t>CUDA, Parallel Computing, GPU Acceleration, Shared-Memory Tiling, Asynchronous Streams, Medical Image Preprocessing, Amdahl's Law, High Throughput.</w:t>
      </w:r>
    </w:p>
    <w:p>
      <w:pPr>
        <w:sectPr>
          <w:pgSz w:w="12240" w:h="15840"/>
          <w:pgMar w:top="1080" w:right="1080" w:bottom="1080" w:left="1080" w:header="720" w:footer="720" w:gutter="0"/>
          <w:cols w:space="720"/>
          <w:docGrid w:linePitch="360"/>
        </w:sectPr>
      </w:pPr>
    </w:p>
    <w:p>
      <w:pPr>
        <w:spacing w:before="220" w:after="60"/>
        <w:jc w:val="center"/>
      </w:pPr>
      <w:r>
        <w:rPr>
          <w:rFonts w:ascii="Times New Roman" w:hAnsi="Times New Roman"/>
          <w:b/>
          <w:sz w:val="20"/>
        </w:rPr>
        <w:t>I. INTRODUCTION</w:t>
      </w:r>
    </w:p>
    <w:p>
      <w:pPr>
        <w:spacing w:before="0" w:after="60" w:line="252" w:lineRule="auto"/>
        <w:jc w:val="both"/>
      </w:pPr>
      <w:r>
        <w:rPr>
          <w:rFonts w:ascii="Times New Roman" w:hAnsi="Times New Roman"/>
          <w:sz w:val="19"/>
        </w:rPr>
        <w:t>Computer-Aided Diagnosis (CAD) platforms for population-scale health screening increasingly handle voluminous medical imagery [1]. In automated tongue inspection for Fatty Liver Disease (FLD), thousands of standardized, high-resolution photographs must be processed within strict clinical latency windows [2]. Prior to executing downstream machine learning feature extraction or deep neural network inference, raw patient images must undergo intensive spatial-domain filtering, including noise suppression via Gaussian smoothing, mucosal papillae boundary localization via Sobel gradient operators, and specular artifact removal via median filtering [3].</w:t>
      </w:r>
    </w:p>
    <w:p>
      <w:pPr>
        <w:spacing w:before="0" w:after="60" w:line="252" w:lineRule="auto"/>
        <w:jc w:val="both"/>
      </w:pPr>
      <w:r>
        <w:rPr>
          <w:rFonts w:ascii="Times New Roman" w:hAnsi="Times New Roman"/>
          <w:sz w:val="19"/>
        </w:rPr>
        <w:t>On conventional multi-core central processing units (CPUs), these 2D spatial convolution filters are executed sequentially or with coarse multithreading. As image dimensions increase from standard clinical resolutions (512×512) to high-definition diagnostic captures (2048×2048), the algorithmic complexity scales quadratically with pixel count: O(W × H × K²), where W and H denote spatial dimensions and K is the kernel aperture width [4]. Under continuous streaming workloads, CPU-bound preprocessing becomes the critical system bottleneck, causing request queues to saturate and degrading overall clinical throughput.</w:t>
      </w:r>
    </w:p>
    <w:p>
      <w:pPr>
        <w:spacing w:before="0" w:after="60" w:line="252" w:lineRule="auto"/>
        <w:jc w:val="both"/>
      </w:pPr>
      <w:r>
        <w:rPr>
          <w:rFonts w:ascii="Times New Roman" w:hAnsi="Times New Roman"/>
          <w:sz w:val="19"/>
        </w:rPr>
        <w:t>Graphics Processing Units (GPUs) provide a massively parallel architecture comprising thousands of lightweight compute cores designed for high instruction throughput and memory bandwidth [5]. However, mapping spatial medical image filters onto GPU hardware introduces significant architectural challenges: (1) uncoalesced global memory access patterns caused by sliding filter windows, (2) thread divergence along image boundaries, and (3) memory transfer overhead across the host-device PCIe bus [6].</w:t>
      </w:r>
    </w:p>
    <w:p>
      <w:pPr>
        <w:spacing w:before="0" w:after="60" w:line="252" w:lineRule="auto"/>
        <w:jc w:val="both"/>
      </w:pPr>
      <w:r>
        <w:rPr>
          <w:rFonts w:ascii="Times New Roman" w:hAnsi="Times New Roman"/>
          <w:sz w:val="19"/>
        </w:rPr>
        <w:t>To resolve these challenges, this paper presents a comprehensive CUDA-based parallel preprocessing acceleration framework. Specifically:</w:t>
      </w:r>
    </w:p>
    <w:p>
      <w:pPr>
        <w:spacing w:before="0" w:after="60" w:line="252" w:lineRule="auto"/>
        <w:jc w:val="both"/>
      </w:pPr>
      <w:r>
        <w:rPr>
          <w:rFonts w:ascii="Times New Roman" w:hAnsi="Times New Roman"/>
          <w:sz w:val="19"/>
        </w:rPr>
        <w:t>1) We implement and evaluate both naive global memory kernels and advanced shared-memory tiled kernels with halo boundary loading for Gaussian, Sobel, and median filters.</w:t>
      </w:r>
    </w:p>
    <w:p>
      <w:pPr>
        <w:spacing w:before="0" w:after="60" w:line="252" w:lineRule="auto"/>
        <w:jc w:val="both"/>
      </w:pPr>
      <w:r>
        <w:rPr>
          <w:rFonts w:ascii="Times New Roman" w:hAnsi="Times New Roman"/>
          <w:sz w:val="19"/>
        </w:rPr>
        <w:t>2) We engineer a multi-stream asynchronous batch pipeline utilizing pinned host memory to achieve concurrent data transfer and kernel compute.</w:t>
      </w:r>
    </w:p>
    <w:p>
      <w:pPr>
        <w:spacing w:before="0" w:after="60" w:line="252" w:lineRule="auto"/>
        <w:jc w:val="both"/>
      </w:pPr>
      <w:r>
        <w:rPr>
          <w:rFonts w:ascii="Times New Roman" w:hAnsi="Times New Roman"/>
          <w:sz w:val="19"/>
        </w:rPr>
        <w:t>3) We rigorously benchmark performance on an NVIDIA GeForce RTX 4060 GPU across four image resolutions, evaluating speedup, occupancy, and PSNR fidelity.</w:t>
      </w:r>
    </w:p>
    <w:p>
      <w:pPr>
        <w:spacing w:before="0" w:after="60" w:line="252" w:lineRule="auto"/>
        <w:jc w:val="both"/>
      </w:pPr>
      <w:r>
        <w:rPr>
          <w:rFonts w:ascii="Times New Roman" w:hAnsi="Times New Roman"/>
          <w:sz w:val="19"/>
        </w:rPr>
        <w:t>4) We conduct theoretical scaling analysis using Amdahl's Law and memory hierarchy models to characterize system scalability limits.</w:t>
      </w:r>
    </w:p>
    <w:p>
      <w:pPr>
        <w:spacing w:before="220" w:after="60"/>
        <w:jc w:val="center"/>
      </w:pPr>
      <w:r>
        <w:rPr>
          <w:rFonts w:ascii="Times New Roman" w:hAnsi="Times New Roman"/>
          <w:b/>
          <w:sz w:val="20"/>
        </w:rPr>
        <w:t>II. CUDA ARCHITECTURAL BACKGROUND &amp; MEMORY HIERARCHY</w:t>
      </w:r>
    </w:p>
    <w:p>
      <w:pPr>
        <w:spacing w:before="0" w:after="60" w:line="252" w:lineRule="auto"/>
        <w:jc w:val="both"/>
      </w:pPr>
      <w:r>
        <w:rPr>
          <w:rFonts w:ascii="Times New Roman" w:hAnsi="Times New Roman"/>
          <w:sz w:val="19"/>
        </w:rPr>
        <w:t>NVIDIA's CUDA platform provides a Single Instruction, Multiple Threads (SIMT) programming paradigm [7]. Execution occurs within a grid structured into thread blocks, which are scheduled onto Streaming Multiprocessors (SMs). Threads within a block execute concurrently in lockstep groups of 32 known as warps. Efficient kernel design requires maximizing warp execution efficiency and mitigating memory latency.</w:t>
      </w:r>
    </w:p>
    <w:p>
      <w:pPr>
        <w:spacing w:before="0" w:after="60" w:line="252" w:lineRule="auto"/>
        <w:jc w:val="both"/>
      </w:pPr>
      <w:r>
        <w:rPr>
          <w:rFonts w:ascii="Times New Roman" w:hAnsi="Times New Roman"/>
          <w:sz w:val="19"/>
        </w:rPr>
        <w:t>The GPU memory hierarchy comprises several tiers exhibiting divergent latency and bandwidth characteristics:</w:t>
      </w:r>
    </w:p>
    <w:p>
      <w:pPr>
        <w:spacing w:before="0" w:after="60" w:line="252" w:lineRule="auto"/>
        <w:jc w:val="both"/>
      </w:pPr>
      <w:r>
        <w:rPr>
          <w:rFonts w:ascii="Times New Roman" w:hAnsi="Times New Roman"/>
          <w:sz w:val="19"/>
        </w:rPr>
        <w:t>1) Global Memory: Off-chip DRAM with high capacity (8 GB GDDR6 on RTX 4060) but elevated access latency (400 to 800 clock cycles). Peak efficiency requires coalesced accesses where threads in a warp access contiguous 32-, 64-, or 128-byte memory segments.</w:t>
      </w:r>
    </w:p>
    <w:p>
      <w:pPr>
        <w:spacing w:before="0" w:after="60" w:line="252" w:lineRule="auto"/>
        <w:jc w:val="both"/>
      </w:pPr>
      <w:r>
        <w:rPr>
          <w:rFonts w:ascii="Times New Roman" w:hAnsi="Times New Roman"/>
          <w:sz w:val="19"/>
        </w:rPr>
        <w:t>2) Constant Memory: A 64 KB read-only memory space backed by a dedicated hardware cache. When all threads in a warp access the identical memory address (such as static convolution filter weights), the value is broadcast in a single clock cycle.</w:t>
      </w:r>
    </w:p>
    <w:p>
      <w:pPr>
        <w:spacing w:before="0" w:after="60" w:line="252" w:lineRule="auto"/>
        <w:jc w:val="both"/>
      </w:pPr>
      <w:r>
        <w:rPr>
          <w:rFonts w:ascii="Times New Roman" w:hAnsi="Times New Roman"/>
          <w:sz w:val="19"/>
        </w:rPr>
        <w:t>3) Shared Memory: On-chip, software-managed scratchpad memory located within each SM, providing extremely low latency (1 to 2 cycles) and high bandwidth (&gt; 1.5 TB/s aggregate). Shared memory is divided into 32 equal-sized banks. Shared memory enables inter-thread communication and data reuse within a thread block.</w:t>
      </w:r>
    </w:p>
    <w:p>
      <w:pPr>
        <w:spacing w:before="0" w:after="60" w:line="252" w:lineRule="auto"/>
        <w:jc w:val="both"/>
      </w:pPr>
      <w:r>
        <w:rPr>
          <w:rFonts w:ascii="Times New Roman" w:hAnsi="Times New Roman"/>
          <w:sz w:val="19"/>
        </w:rPr>
        <w:t>4) Pinned (Page-Locked) Host Memory: Physical system RAM allocated via cudaHostAlloc(), which cannot be paged out by the operating system. Pinned memory enables Direct Memory Access (DMA) controllers to execute asynchronous transfers concurrently with GPU compute operations.</w:t>
      </w:r>
    </w:p>
    <w:p>
      <w:pPr>
        <w:spacing w:before="220" w:after="60"/>
        <w:jc w:val="center"/>
      </w:pPr>
      <w:r>
        <w:rPr>
          <w:rFonts w:ascii="Times New Roman" w:hAnsi="Times New Roman"/>
          <w:b/>
          <w:sz w:val="20"/>
        </w:rPr>
        <w:t>III. PARALLEL ALGORITHM FORMULATION &amp; OPTIMIZATION</w:t>
      </w:r>
    </w:p>
    <w:p>
      <w:pPr>
        <w:spacing w:before="140" w:after="40"/>
        <w:jc w:val="left"/>
      </w:pPr>
      <w:r>
        <w:rPr>
          <w:rFonts w:ascii="Times New Roman" w:hAnsi="Times New Roman"/>
          <w:b/>
          <w:i/>
          <w:sz w:val="19"/>
        </w:rPr>
        <w:t>A. Baseline Naive Kernel Design</w:t>
      </w:r>
    </w:p>
    <w:p>
      <w:pPr>
        <w:spacing w:before="0" w:after="60" w:line="252" w:lineRule="auto"/>
        <w:jc w:val="both"/>
      </w:pPr>
      <w:r>
        <w:rPr>
          <w:rFonts w:ascii="Times New Roman" w:hAnsi="Times New Roman"/>
          <w:sz w:val="19"/>
        </w:rPr>
        <w:t>In the naive parallel formulation, each output pixel is mapped to a unique GPU thread. Given a 2D grid where thread indices are calculated as:</w:t>
        <w:br/>
        <w:t xml:space="preserve">    col = blockIdx.x * blockDim.x + threadIdx.x</w:t>
        <w:br/>
        <w:t xml:space="preserve">    row = blockIdx.y * blockDim.y + threadIdx.y</w:t>
        <w:br/>
        <w:t>each active thread evaluates the spatial convolution sum over the neighborhood [-K/2, K/2]. For a 5×5 Gaussian kernel, each thread performs 25 uncoalesced global memory read transactions. Consequently, adjacent threads repeatedly fetch identical neighbor pixels from high-latency global memory, resulting in severe memory bandwidth thrashing.</w:t>
      </w:r>
    </w:p>
    <w:p>
      <w:pPr>
        <w:spacing w:before="140" w:after="40"/>
        <w:jc w:val="left"/>
      </w:pPr>
      <w:r>
        <w:rPr>
          <w:rFonts w:ascii="Times New Roman" w:hAnsi="Times New Roman"/>
          <w:b/>
          <w:i/>
          <w:sz w:val="19"/>
        </w:rPr>
        <w:t>B. Constant Memory Kernel Coefficients</w:t>
      </w:r>
    </w:p>
    <w:p>
      <w:pPr>
        <w:spacing w:before="0" w:after="60" w:line="252" w:lineRule="auto"/>
        <w:jc w:val="both"/>
      </w:pPr>
      <w:r>
        <w:rPr>
          <w:rFonts w:ascii="Times New Roman" w:hAnsi="Times New Roman"/>
          <w:sz w:val="19"/>
        </w:rPr>
        <w:t>Because the 5×5 Gaussian discrete coefficients remain invariant across all pixels, we declare the filter mask within constant memory:</w:t>
        <w:br/>
        <w:t xml:space="preserve">    __constant__ float d_gauss5x5[25];</w:t>
        <w:br/>
        <w:t>During initialization, the host uploads the 25 normalized floating-point coefficients once via cudaMemcpyToSymbol(). During execution, all threads in a warp access the identical coefficient index simultaneously, allowing the constant cache to satisfy the request via single-cycle broadcast.</w:t>
      </w:r>
    </w:p>
    <w:p>
      <w:pPr>
        <w:spacing w:before="140" w:after="40"/>
        <w:jc w:val="left"/>
      </w:pPr>
      <w:r>
        <w:rPr>
          <w:rFonts w:ascii="Times New Roman" w:hAnsi="Times New Roman"/>
          <w:b/>
          <w:i/>
          <w:sz w:val="19"/>
        </w:rPr>
        <w:t>C. 2D Shared-Memory Tiling with Halo Boundaries</w:t>
      </w:r>
    </w:p>
    <w:p>
      <w:pPr>
        <w:spacing w:before="0" w:after="60" w:line="252" w:lineRule="auto"/>
        <w:jc w:val="both"/>
      </w:pPr>
      <w:r>
        <w:rPr>
          <w:rFonts w:ascii="Times New Roman" w:hAnsi="Times New Roman"/>
          <w:sz w:val="19"/>
        </w:rPr>
        <w:t>To eliminate redundant global memory fetches, we formulate an optimized 2D shared-memory tiling scheme. The thread block dimension is configured as TILE_W × TILE_H (16 × 16 = 256 threads). However, computing a 5×5 convolution requires a boundary halo of HALO = 2 pixels on all four sides. Thus, each thread block allocates a shared memory array of dimension (16 + 4) × (16 + 4) = 20 × 20 elements, as illustrated in Fig. 1.</w:t>
      </w:r>
    </w:p>
    <w:p>
      <w:pPr>
        <w:spacing w:before="120" w:after="40"/>
        <w:jc w:val="center"/>
      </w:pPr>
      <w:r>
        <w:drawing>
          <wp:inline xmlns:a="http://schemas.openxmlformats.org/drawingml/2006/main" xmlns:pic="http://schemas.openxmlformats.org/drawingml/2006/picture">
            <wp:extent cx="3017520" cy="2587487"/>
            <wp:docPr id="1" name="Picture 1"/>
            <wp:cNvGraphicFramePr>
              <a:graphicFrameLocks noChangeAspect="1"/>
            </wp:cNvGraphicFramePr>
            <a:graphic>
              <a:graphicData uri="http://schemas.openxmlformats.org/drawingml/2006/picture">
                <pic:pic>
                  <pic:nvPicPr>
                    <pic:cNvPr id="0" name="cuda_tiling_diagram.png"/>
                    <pic:cNvPicPr/>
                  </pic:nvPicPr>
                  <pic:blipFill>
                    <a:blip r:embed="rId9"/>
                    <a:stretch>
                      <a:fillRect/>
                    </a:stretch>
                  </pic:blipFill>
                  <pic:spPr>
                    <a:xfrm>
                      <a:off x="0" y="0"/>
                      <a:ext cx="3017520" cy="2587487"/>
                    </a:xfrm>
                    <a:prstGeom prst="rect"/>
                  </pic:spPr>
                </pic:pic>
              </a:graphicData>
            </a:graphic>
          </wp:inline>
        </w:drawing>
      </w:r>
    </w:p>
    <w:p>
      <w:pPr>
        <w:spacing w:before="40" w:after="140"/>
        <w:jc w:val="center"/>
      </w:pPr>
      <w:r>
        <w:rPr>
          <w:rFonts w:ascii="Times New Roman" w:hAnsi="Times New Roman"/>
          <w:b/>
          <w:sz w:val="16"/>
        </w:rPr>
        <w:t>Fig. 1. Architectural schematic of 2D shared-memory tiling with boundary halo loading.</w:t>
      </w:r>
    </w:p>
    <w:p>
      <w:pPr>
        <w:spacing w:before="0" w:after="60" w:line="252" w:lineRule="auto"/>
        <w:jc w:val="both"/>
      </w:pPr>
      <w:r>
        <w:rPr>
          <w:rFonts w:ascii="Times New Roman" w:hAnsi="Times New Roman"/>
          <w:sz w:val="19"/>
        </w:rPr>
        <w:t>The shared memory loading algorithm operates in three distinct phases:</w:t>
        <w:br/>
        <w:t>1) Internal Tile Loading: Each thread (tx, ty) reads its corresponding pixel (col, row) from global memory and writes to smem[ty + 2][tx + 2].</w:t>
        <w:br/>
        <w:t>2) Halo Boundary Loading: Threads located on the block perimeter load the outer halo regions into shared memory with boundary clamping.</w:t>
        <w:br/>
        <w:t>3) Barrier Synchronization: A call to __syncthreads() enforces a memory fence, guaranteeing that all tile and halo elements are populated before convolution arithmetic commences. Threads then compute convolution sums strictly out of on-chip shared memory.</w:t>
      </w:r>
    </w:p>
    <w:p>
      <w:pPr>
        <w:spacing w:before="140" w:after="40"/>
        <w:jc w:val="left"/>
      </w:pPr>
      <w:r>
        <w:rPr>
          <w:rFonts w:ascii="Times New Roman" w:hAnsi="Times New Roman"/>
          <w:b/>
          <w:i/>
          <w:sz w:val="19"/>
        </w:rPr>
        <w:t>D. Asynchronous Multi-Stream Batch Pipeline</w:t>
      </w:r>
    </w:p>
    <w:p>
      <w:pPr>
        <w:spacing w:before="0" w:after="60" w:line="252" w:lineRule="auto"/>
        <w:jc w:val="both"/>
      </w:pPr>
      <w:r>
        <w:rPr>
          <w:rFonts w:ascii="Times New Roman" w:hAnsi="Times New Roman"/>
          <w:sz w:val="19"/>
        </w:rPr>
        <w:t>Single-image GPU execution is frequently dominated by PCIe transfer latency (Host-to-Device and Device-to-Host) rather than raw kernel compute time. To achieve linear throughput scaling in clinical production, we engineered a multi-stream asynchronous batch pipeline (Fig. 2).</w:t>
      </w:r>
    </w:p>
    <w:p>
      <w:pPr>
        <w:spacing w:before="120" w:after="40"/>
        <w:jc w:val="center"/>
      </w:pPr>
      <w:r>
        <w:drawing>
          <wp:inline xmlns:a="http://schemas.openxmlformats.org/drawingml/2006/main" xmlns:pic="http://schemas.openxmlformats.org/drawingml/2006/picture">
            <wp:extent cx="3017520" cy="1433291"/>
            <wp:docPr id="2" name="Picture 2"/>
            <wp:cNvGraphicFramePr>
              <a:graphicFrameLocks noChangeAspect="1"/>
            </wp:cNvGraphicFramePr>
            <a:graphic>
              <a:graphicData uri="http://schemas.openxmlformats.org/drawingml/2006/picture">
                <pic:pic>
                  <pic:nvPicPr>
                    <pic:cNvPr id="0" name="cuda_stream_pipeline.png"/>
                    <pic:cNvPicPr/>
                  </pic:nvPicPr>
                  <pic:blipFill>
                    <a:blip r:embed="rId10"/>
                    <a:stretch>
                      <a:fillRect/>
                    </a:stretch>
                  </pic:blipFill>
                  <pic:spPr>
                    <a:xfrm>
                      <a:off x="0" y="0"/>
                      <a:ext cx="3017520" cy="1433291"/>
                    </a:xfrm>
                    <a:prstGeom prst="rect"/>
                  </pic:spPr>
                </pic:pic>
              </a:graphicData>
            </a:graphic>
          </wp:inline>
        </w:drawing>
      </w:r>
    </w:p>
    <w:p>
      <w:pPr>
        <w:spacing w:before="40" w:after="140"/>
        <w:jc w:val="center"/>
      </w:pPr>
      <w:r>
        <w:rPr>
          <w:rFonts w:ascii="Times New Roman" w:hAnsi="Times New Roman"/>
          <w:b/>
          <w:sz w:val="16"/>
        </w:rPr>
        <w:t>Fig. 2. Concurrent execution timeline across 4 CUDA streams showing overlap of H2D transfers, compute kernels, and D2H transfers.</w:t>
      </w:r>
    </w:p>
    <w:p>
      <w:pPr>
        <w:spacing w:before="0" w:after="60" w:line="252" w:lineRule="auto"/>
        <w:jc w:val="both"/>
      </w:pPr>
      <w:r>
        <w:rPr>
          <w:rFonts w:ascii="Times New Roman" w:hAnsi="Times New Roman"/>
          <w:sz w:val="19"/>
        </w:rPr>
        <w:t>The pipeline operates across N independent CUDA streams using page-locked host memory buffers. For a batch of B images, the workload is partitioned into N sub-batches. For stream i, cudaMemcpyAsync() initiates Host-to-Device DMA transfer; while the GPU executes kernels on stream i, stream i+1 concurrently performs PCIe transfer. This dual-engine concurrency effectively masks memory transfer overhead.</w:t>
      </w:r>
    </w:p>
    <w:p>
      <w:pPr>
        <w:spacing w:before="220" w:after="60"/>
        <w:jc w:val="center"/>
      </w:pPr>
      <w:r>
        <w:rPr>
          <w:rFonts w:ascii="Times New Roman" w:hAnsi="Times New Roman"/>
          <w:b/>
          <w:sz w:val="20"/>
        </w:rPr>
        <w:t>IV. HARDWARE SPECIFICATIONS &amp; BENCHMARKING METHODOLOGY</w:t>
      </w:r>
    </w:p>
    <w:p>
      <w:pPr>
        <w:spacing w:before="0" w:after="60" w:line="252" w:lineRule="auto"/>
        <w:jc w:val="both"/>
      </w:pPr>
      <w:r>
        <w:rPr>
          <w:rFonts w:ascii="Times New Roman" w:hAnsi="Times New Roman"/>
          <w:sz w:val="19"/>
        </w:rPr>
        <w:t>All empirical benchmarks were executed on an NVIDIA GeForce RTX 4060 Laptop GPU based on the Ada Lovelace (AD107) microarchitecture. The GPU features 3,072 CUDA cores, 24 Streaming Multiprocessors, a boost clock of 2,370 MHz, and 8,188 MB of GDDR6 memory operating over a 128-bit bus delivering 256 GB/s peak bandwidth. The host machine is equipped with a high-performance multi-core x86_64 CPU running Windows 11 with the NVIDIA 581.86 display driver and CUDA Toolkit 12.8 / PyTorch CUDA runtime.</w:t>
      </w:r>
    </w:p>
    <w:p>
      <w:pPr>
        <w:spacing w:before="0" w:after="60" w:line="252" w:lineRule="auto"/>
        <w:jc w:val="both"/>
      </w:pPr>
      <w:r>
        <w:rPr>
          <w:rFonts w:ascii="Times New Roman" w:hAnsi="Times New Roman"/>
          <w:sz w:val="19"/>
        </w:rPr>
        <w:t>To ensure microsecond-level timing precision free of operating system jitter, timing measurements were recorded using hardware CUDA Events (cudaEventCreate, cudaEventRecord, and cudaEventElapsedTime). Each benchmark was preceded by 5 unrecorded warm-up iterations, followed by 25 systematically timed trials. The median execution time was selected as the representative benchmark metric.</w:t>
      </w:r>
    </w:p>
    <w:p>
      <w:pPr>
        <w:spacing w:before="220" w:after="60"/>
        <w:jc w:val="center"/>
      </w:pPr>
      <w:r>
        <w:rPr>
          <w:rFonts w:ascii="Times New Roman" w:hAnsi="Times New Roman"/>
          <w:b/>
          <w:sz w:val="20"/>
        </w:rPr>
        <w:t>V. EMPIRICAL RESULTS &amp; PERFORMANCE EVALUATION</w:t>
      </w:r>
    </w:p>
    <w:p>
      <w:pPr>
        <w:spacing w:before="140" w:after="40"/>
        <w:jc w:val="left"/>
      </w:pPr>
      <w:r>
        <w:rPr>
          <w:rFonts w:ascii="Times New Roman" w:hAnsi="Times New Roman"/>
          <w:b/>
          <w:i/>
          <w:sz w:val="19"/>
        </w:rPr>
        <w:t>A. Multi-Resolution Latency &amp; Speedup</w:t>
      </w:r>
    </w:p>
    <w:p>
      <w:pPr>
        <w:spacing w:before="0" w:after="60" w:line="252" w:lineRule="auto"/>
        <w:jc w:val="both"/>
      </w:pPr>
      <w:r>
        <w:rPr>
          <w:rFonts w:ascii="Times New Roman" w:hAnsi="Times New Roman"/>
          <w:sz w:val="19"/>
        </w:rPr>
        <w:t>Table I summarizes the empirical latency and acceleration factors comparing sequential CPU execution (OpenCV baseline) against our CUDA GPU implementation across four standardized resolutions: 256×256, 512×512, 1024×1024, and 2048×2048 pixels.</w:t>
      </w:r>
    </w:p>
    <w:p>
      <w:pPr>
        <w:jc w:val="center"/>
      </w:pPr>
      <w:r>
        <w:rPr>
          <w:rFonts w:ascii="Times New Roman" w:hAnsi="Times New Roman"/>
          <w:b/>
          <w:sz w:val="16"/>
        </w:rPr>
        <w:t>TABLE I</w:t>
        <w:br/>
        <w:t>LATENCY AND SPEEDUP (RTX 4060 VS CPU)</w:t>
      </w:r>
    </w:p>
    <w:tbl>
      <w:tblPr>
        <w:tblW w:type="auto" w:w="0"/>
        <w:jc w:val="center"/>
        <w:tblLook w:firstColumn="1" w:firstRow="1" w:lastColumn="0" w:lastRow="0" w:noHBand="0" w:noVBand="1" w:val="04A0"/>
      </w:tblPr>
      <w:tblGrid>
        <w:gridCol w:w="2016"/>
        <w:gridCol w:w="2016"/>
        <w:gridCol w:w="2016"/>
        <w:gridCol w:w="2016"/>
        <w:gridCol w:w="2016"/>
      </w:tblGrid>
      <w:tr>
        <w:tc>
          <w:tcPr>
            <w:tcW w:type="dxa" w:w="1152"/>
            <w:shd w:fill="1F497D"/>
          </w:tcPr>
          <w:p>
            <w:pPr>
              <w:jc w:val="center"/>
            </w:pPr>
            <w:r>
              <w:rPr>
                <w:rFonts w:ascii="Times New Roman" w:hAnsi="Times New Roman"/>
                <w:b/>
                <w:color w:val="FFFFFF"/>
                <w:sz w:val="15"/>
              </w:rPr>
              <w:t>Res</w:t>
            </w:r>
          </w:p>
        </w:tc>
        <w:tc>
          <w:tcPr>
            <w:tcW w:type="dxa" w:w="1584"/>
            <w:shd w:fill="1F497D"/>
          </w:tcPr>
          <w:p>
            <w:pPr>
              <w:jc w:val="center"/>
            </w:pPr>
            <w:r>
              <w:rPr>
                <w:rFonts w:ascii="Times New Roman" w:hAnsi="Times New Roman"/>
                <w:b/>
                <w:color w:val="FFFFFF"/>
                <w:sz w:val="15"/>
              </w:rPr>
              <w:t>Filter</w:t>
            </w:r>
          </w:p>
        </w:tc>
        <w:tc>
          <w:tcPr>
            <w:tcW w:type="dxa" w:w="720"/>
            <w:shd w:fill="1F497D"/>
          </w:tcPr>
          <w:p>
            <w:pPr>
              <w:jc w:val="center"/>
            </w:pPr>
            <w:r>
              <w:rPr>
                <w:rFonts w:ascii="Times New Roman" w:hAnsi="Times New Roman"/>
                <w:b/>
                <w:color w:val="FFFFFF"/>
                <w:sz w:val="15"/>
              </w:rPr>
              <w:t>CPU(ms)</w:t>
            </w:r>
          </w:p>
        </w:tc>
        <w:tc>
          <w:tcPr>
            <w:tcW w:type="dxa" w:w="720"/>
            <w:shd w:fill="1F497D"/>
          </w:tcPr>
          <w:p>
            <w:pPr>
              <w:jc w:val="center"/>
            </w:pPr>
            <w:r>
              <w:rPr>
                <w:rFonts w:ascii="Times New Roman" w:hAnsi="Times New Roman"/>
                <w:b/>
                <w:color w:val="FFFFFF"/>
                <w:sz w:val="15"/>
              </w:rPr>
              <w:t>GPU(ms)</w:t>
            </w:r>
          </w:p>
        </w:tc>
        <w:tc>
          <w:tcPr>
            <w:tcW w:type="dxa" w:w="648"/>
            <w:shd w:fill="1F497D"/>
          </w:tcPr>
          <w:p>
            <w:pPr>
              <w:jc w:val="center"/>
            </w:pPr>
            <w:r>
              <w:rPr>
                <w:rFonts w:ascii="Times New Roman" w:hAnsi="Times New Roman"/>
                <w:b/>
                <w:color w:val="FFFFFF"/>
                <w:sz w:val="15"/>
              </w:rPr>
              <w:t>Gain</w:t>
            </w:r>
          </w:p>
        </w:tc>
      </w:tr>
      <w:tr>
        <w:tc>
          <w:tcPr>
            <w:tcW w:type="dxa" w:w="1152"/>
          </w:tcPr>
          <w:p>
            <w:pPr>
              <w:jc w:val="left"/>
            </w:pPr>
            <w:r>
              <w:rPr>
                <w:rFonts w:ascii="Times New Roman" w:hAnsi="Times New Roman"/>
                <w:sz w:val="15"/>
              </w:rPr>
              <w:t>256²</w:t>
            </w:r>
          </w:p>
        </w:tc>
        <w:tc>
          <w:tcPr>
            <w:tcW w:type="dxa" w:w="1584"/>
          </w:tcPr>
          <w:p>
            <w:pPr>
              <w:jc w:val="left"/>
            </w:pPr>
            <w:r>
              <w:rPr>
                <w:rFonts w:ascii="Times New Roman" w:hAnsi="Times New Roman"/>
                <w:sz w:val="15"/>
              </w:rPr>
              <w:t>Gaussian Blur</w:t>
            </w:r>
          </w:p>
        </w:tc>
        <w:tc>
          <w:tcPr>
            <w:tcW w:type="dxa" w:w="720"/>
          </w:tcPr>
          <w:p>
            <w:pPr>
              <w:jc w:val="center"/>
            </w:pPr>
            <w:r>
              <w:rPr>
                <w:rFonts w:ascii="Times New Roman" w:hAnsi="Times New Roman"/>
                <w:sz w:val="15"/>
              </w:rPr>
              <w:t>0.058</w:t>
            </w:r>
          </w:p>
        </w:tc>
        <w:tc>
          <w:tcPr>
            <w:tcW w:type="dxa" w:w="720"/>
          </w:tcPr>
          <w:p>
            <w:pPr>
              <w:jc w:val="center"/>
            </w:pPr>
            <w:r>
              <w:rPr>
                <w:rFonts w:ascii="Times New Roman" w:hAnsi="Times New Roman"/>
                <w:sz w:val="15"/>
              </w:rPr>
              <w:t>0.104</w:t>
            </w:r>
          </w:p>
        </w:tc>
        <w:tc>
          <w:tcPr>
            <w:tcW w:type="dxa" w:w="648"/>
          </w:tcPr>
          <w:p>
            <w:pPr>
              <w:jc w:val="center"/>
            </w:pPr>
            <w:r>
              <w:rPr>
                <w:rFonts w:ascii="Times New Roman" w:hAnsi="Times New Roman"/>
                <w:sz w:val="15"/>
              </w:rPr>
              <w:t>0.6×</w:t>
            </w:r>
          </w:p>
        </w:tc>
      </w:tr>
      <w:tr>
        <w:tc>
          <w:tcPr>
            <w:tcW w:type="dxa" w:w="1152"/>
            <w:shd w:fill="F2F5F8"/>
          </w:tcPr>
          <w:p>
            <w:pPr>
              <w:jc w:val="left"/>
            </w:pPr>
            <w:r>
              <w:rPr>
                <w:rFonts w:ascii="Times New Roman" w:hAnsi="Times New Roman"/>
                <w:sz w:val="15"/>
              </w:rPr>
              <w:t>256²</w:t>
            </w:r>
          </w:p>
        </w:tc>
        <w:tc>
          <w:tcPr>
            <w:tcW w:type="dxa" w:w="1584"/>
            <w:shd w:fill="F2F5F8"/>
          </w:tcPr>
          <w:p>
            <w:pPr>
              <w:jc w:val="left"/>
            </w:pPr>
            <w:r>
              <w:rPr>
                <w:rFonts w:ascii="Times New Roman" w:hAnsi="Times New Roman"/>
                <w:sz w:val="15"/>
              </w:rPr>
              <w:t>Sobel Gradient</w:t>
            </w:r>
          </w:p>
        </w:tc>
        <w:tc>
          <w:tcPr>
            <w:tcW w:type="dxa" w:w="720"/>
            <w:shd w:fill="F2F5F8"/>
          </w:tcPr>
          <w:p>
            <w:pPr>
              <w:jc w:val="center"/>
            </w:pPr>
            <w:r>
              <w:rPr>
                <w:rFonts w:ascii="Times New Roman" w:hAnsi="Times New Roman"/>
                <w:sz w:val="15"/>
              </w:rPr>
              <w:t>0.221</w:t>
            </w:r>
          </w:p>
        </w:tc>
        <w:tc>
          <w:tcPr>
            <w:tcW w:type="dxa" w:w="720"/>
            <w:shd w:fill="F2F5F8"/>
          </w:tcPr>
          <w:p>
            <w:pPr>
              <w:jc w:val="center"/>
            </w:pPr>
            <w:r>
              <w:rPr>
                <w:rFonts w:ascii="Times New Roman" w:hAnsi="Times New Roman"/>
                <w:sz w:val="15"/>
              </w:rPr>
              <w:t>0.089</w:t>
            </w:r>
          </w:p>
        </w:tc>
        <w:tc>
          <w:tcPr>
            <w:tcW w:type="dxa" w:w="648"/>
            <w:shd w:fill="F2F5F8"/>
          </w:tcPr>
          <w:p>
            <w:pPr>
              <w:jc w:val="center"/>
            </w:pPr>
            <w:r>
              <w:rPr>
                <w:rFonts w:ascii="Times New Roman" w:hAnsi="Times New Roman"/>
                <w:sz w:val="15"/>
              </w:rPr>
              <w:t>2.5×</w:t>
            </w:r>
          </w:p>
        </w:tc>
      </w:tr>
      <w:tr>
        <w:tc>
          <w:tcPr>
            <w:tcW w:type="dxa" w:w="1152"/>
          </w:tcPr>
          <w:p>
            <w:pPr>
              <w:jc w:val="left"/>
            </w:pPr>
            <w:r>
              <w:rPr>
                <w:rFonts w:ascii="Times New Roman" w:hAnsi="Times New Roman"/>
                <w:sz w:val="15"/>
              </w:rPr>
              <w:t>256²</w:t>
            </w:r>
          </w:p>
        </w:tc>
        <w:tc>
          <w:tcPr>
            <w:tcW w:type="dxa" w:w="1584"/>
          </w:tcPr>
          <w:p>
            <w:pPr>
              <w:jc w:val="left"/>
            </w:pPr>
            <w:r>
              <w:rPr>
                <w:rFonts w:ascii="Times New Roman" w:hAnsi="Times New Roman"/>
                <w:sz w:val="15"/>
              </w:rPr>
              <w:t>Median Filter</w:t>
            </w:r>
          </w:p>
        </w:tc>
        <w:tc>
          <w:tcPr>
            <w:tcW w:type="dxa" w:w="720"/>
          </w:tcPr>
          <w:p>
            <w:pPr>
              <w:jc w:val="center"/>
            </w:pPr>
            <w:r>
              <w:rPr>
                <w:rFonts w:ascii="Times New Roman" w:hAnsi="Times New Roman"/>
                <w:sz w:val="15"/>
              </w:rPr>
              <w:t>0.047</w:t>
            </w:r>
          </w:p>
        </w:tc>
        <w:tc>
          <w:tcPr>
            <w:tcW w:type="dxa" w:w="720"/>
          </w:tcPr>
          <w:p>
            <w:pPr>
              <w:jc w:val="center"/>
            </w:pPr>
            <w:r>
              <w:rPr>
                <w:rFonts w:ascii="Times New Roman" w:hAnsi="Times New Roman"/>
                <w:sz w:val="15"/>
              </w:rPr>
              <w:t>2.713</w:t>
            </w:r>
          </w:p>
        </w:tc>
        <w:tc>
          <w:tcPr>
            <w:tcW w:type="dxa" w:w="648"/>
          </w:tcPr>
          <w:p>
            <w:pPr>
              <w:jc w:val="center"/>
            </w:pPr>
            <w:r>
              <w:rPr>
                <w:rFonts w:ascii="Times New Roman" w:hAnsi="Times New Roman"/>
                <w:sz w:val="15"/>
              </w:rPr>
              <w:t>0.02×</w:t>
            </w:r>
          </w:p>
        </w:tc>
      </w:tr>
      <w:tr>
        <w:tc>
          <w:tcPr>
            <w:tcW w:type="dxa" w:w="1152"/>
            <w:shd w:fill="F2F5F8"/>
          </w:tcPr>
          <w:p>
            <w:pPr>
              <w:jc w:val="left"/>
            </w:pPr>
            <w:r>
              <w:rPr>
                <w:rFonts w:ascii="Times New Roman" w:hAnsi="Times New Roman"/>
                <w:sz w:val="15"/>
              </w:rPr>
              <w:t>512²</w:t>
            </w:r>
          </w:p>
        </w:tc>
        <w:tc>
          <w:tcPr>
            <w:tcW w:type="dxa" w:w="1584"/>
            <w:shd w:fill="F2F5F8"/>
          </w:tcPr>
          <w:p>
            <w:pPr>
              <w:jc w:val="left"/>
            </w:pPr>
            <w:r>
              <w:rPr>
                <w:rFonts w:ascii="Times New Roman" w:hAnsi="Times New Roman"/>
                <w:sz w:val="15"/>
              </w:rPr>
              <w:t>Gaussian Blur</w:t>
            </w:r>
          </w:p>
        </w:tc>
        <w:tc>
          <w:tcPr>
            <w:tcW w:type="dxa" w:w="720"/>
            <w:shd w:fill="F2F5F8"/>
          </w:tcPr>
          <w:p>
            <w:pPr>
              <w:jc w:val="center"/>
            </w:pPr>
            <w:r>
              <w:rPr>
                <w:rFonts w:ascii="Times New Roman" w:hAnsi="Times New Roman"/>
                <w:sz w:val="15"/>
              </w:rPr>
              <w:t>0.053</w:t>
            </w:r>
          </w:p>
        </w:tc>
        <w:tc>
          <w:tcPr>
            <w:tcW w:type="dxa" w:w="720"/>
            <w:shd w:fill="F2F5F8"/>
          </w:tcPr>
          <w:p>
            <w:pPr>
              <w:jc w:val="center"/>
            </w:pPr>
            <w:r>
              <w:rPr>
                <w:rFonts w:ascii="Times New Roman" w:hAnsi="Times New Roman"/>
                <w:sz w:val="15"/>
              </w:rPr>
              <w:t>0.135</w:t>
            </w:r>
          </w:p>
        </w:tc>
        <w:tc>
          <w:tcPr>
            <w:tcW w:type="dxa" w:w="648"/>
            <w:shd w:fill="F2F5F8"/>
          </w:tcPr>
          <w:p>
            <w:pPr>
              <w:jc w:val="center"/>
            </w:pPr>
            <w:r>
              <w:rPr>
                <w:rFonts w:ascii="Times New Roman" w:hAnsi="Times New Roman"/>
                <w:sz w:val="15"/>
              </w:rPr>
              <w:t>0.4×</w:t>
            </w:r>
          </w:p>
        </w:tc>
      </w:tr>
      <w:tr>
        <w:tc>
          <w:tcPr>
            <w:tcW w:type="dxa" w:w="1152"/>
          </w:tcPr>
          <w:p>
            <w:pPr>
              <w:jc w:val="left"/>
            </w:pPr>
            <w:r>
              <w:rPr>
                <w:rFonts w:ascii="Times New Roman" w:hAnsi="Times New Roman"/>
                <w:sz w:val="15"/>
              </w:rPr>
              <w:t>512²</w:t>
            </w:r>
          </w:p>
        </w:tc>
        <w:tc>
          <w:tcPr>
            <w:tcW w:type="dxa" w:w="1584"/>
          </w:tcPr>
          <w:p>
            <w:pPr>
              <w:jc w:val="left"/>
            </w:pPr>
            <w:r>
              <w:rPr>
                <w:rFonts w:ascii="Times New Roman" w:hAnsi="Times New Roman"/>
                <w:sz w:val="15"/>
              </w:rPr>
              <w:t>Sobel Gradient</w:t>
            </w:r>
          </w:p>
        </w:tc>
        <w:tc>
          <w:tcPr>
            <w:tcW w:type="dxa" w:w="720"/>
          </w:tcPr>
          <w:p>
            <w:pPr>
              <w:jc w:val="center"/>
            </w:pPr>
            <w:r>
              <w:rPr>
                <w:rFonts w:ascii="Times New Roman" w:hAnsi="Times New Roman"/>
                <w:sz w:val="15"/>
              </w:rPr>
              <w:t>1.106</w:t>
            </w:r>
          </w:p>
        </w:tc>
        <w:tc>
          <w:tcPr>
            <w:tcW w:type="dxa" w:w="720"/>
          </w:tcPr>
          <w:p>
            <w:pPr>
              <w:jc w:val="center"/>
            </w:pPr>
            <w:r>
              <w:rPr>
                <w:rFonts w:ascii="Times New Roman" w:hAnsi="Times New Roman"/>
                <w:sz w:val="15"/>
              </w:rPr>
              <w:t>0.196</w:t>
            </w:r>
          </w:p>
        </w:tc>
        <w:tc>
          <w:tcPr>
            <w:tcW w:type="dxa" w:w="648"/>
          </w:tcPr>
          <w:p>
            <w:pPr>
              <w:jc w:val="center"/>
            </w:pPr>
            <w:r>
              <w:rPr>
                <w:rFonts w:ascii="Times New Roman" w:hAnsi="Times New Roman"/>
                <w:sz w:val="15"/>
              </w:rPr>
              <w:t>5.7×</w:t>
            </w:r>
          </w:p>
        </w:tc>
      </w:tr>
      <w:tr>
        <w:tc>
          <w:tcPr>
            <w:tcW w:type="dxa" w:w="1152"/>
            <w:shd w:fill="F2F5F8"/>
          </w:tcPr>
          <w:p>
            <w:pPr>
              <w:jc w:val="left"/>
            </w:pPr>
            <w:r>
              <w:rPr>
                <w:rFonts w:ascii="Times New Roman" w:hAnsi="Times New Roman"/>
                <w:sz w:val="15"/>
              </w:rPr>
              <w:t>512²</w:t>
            </w:r>
          </w:p>
        </w:tc>
        <w:tc>
          <w:tcPr>
            <w:tcW w:type="dxa" w:w="1584"/>
            <w:shd w:fill="F2F5F8"/>
          </w:tcPr>
          <w:p>
            <w:pPr>
              <w:jc w:val="left"/>
            </w:pPr>
            <w:r>
              <w:rPr>
                <w:rFonts w:ascii="Times New Roman" w:hAnsi="Times New Roman"/>
                <w:sz w:val="15"/>
              </w:rPr>
              <w:t>Median Filter</w:t>
            </w:r>
          </w:p>
        </w:tc>
        <w:tc>
          <w:tcPr>
            <w:tcW w:type="dxa" w:w="720"/>
            <w:shd w:fill="F2F5F8"/>
          </w:tcPr>
          <w:p>
            <w:pPr>
              <w:jc w:val="center"/>
            </w:pPr>
            <w:r>
              <w:rPr>
                <w:rFonts w:ascii="Times New Roman" w:hAnsi="Times New Roman"/>
                <w:sz w:val="15"/>
              </w:rPr>
              <w:t>0.141</w:t>
            </w:r>
          </w:p>
        </w:tc>
        <w:tc>
          <w:tcPr>
            <w:tcW w:type="dxa" w:w="720"/>
            <w:shd w:fill="F2F5F8"/>
          </w:tcPr>
          <w:p>
            <w:pPr>
              <w:jc w:val="center"/>
            </w:pPr>
            <w:r>
              <w:rPr>
                <w:rFonts w:ascii="Times New Roman" w:hAnsi="Times New Roman"/>
                <w:sz w:val="15"/>
              </w:rPr>
              <w:t>10.66</w:t>
            </w:r>
          </w:p>
        </w:tc>
        <w:tc>
          <w:tcPr>
            <w:tcW w:type="dxa" w:w="648"/>
            <w:shd w:fill="F2F5F8"/>
          </w:tcPr>
          <w:p>
            <w:pPr>
              <w:jc w:val="center"/>
            </w:pPr>
            <w:r>
              <w:rPr>
                <w:rFonts w:ascii="Times New Roman" w:hAnsi="Times New Roman"/>
                <w:sz w:val="15"/>
              </w:rPr>
              <w:t>0.01×</w:t>
            </w:r>
          </w:p>
        </w:tc>
      </w:tr>
      <w:tr>
        <w:tc>
          <w:tcPr>
            <w:tcW w:type="dxa" w:w="1152"/>
          </w:tcPr>
          <w:p>
            <w:pPr>
              <w:jc w:val="left"/>
            </w:pPr>
            <w:r>
              <w:rPr>
                <w:rFonts w:ascii="Times New Roman" w:hAnsi="Times New Roman"/>
                <w:sz w:val="15"/>
              </w:rPr>
              <w:t>1024²</w:t>
            </w:r>
          </w:p>
        </w:tc>
        <w:tc>
          <w:tcPr>
            <w:tcW w:type="dxa" w:w="1584"/>
          </w:tcPr>
          <w:p>
            <w:pPr>
              <w:jc w:val="left"/>
            </w:pPr>
            <w:r>
              <w:rPr>
                <w:rFonts w:ascii="Times New Roman" w:hAnsi="Times New Roman"/>
                <w:sz w:val="15"/>
              </w:rPr>
              <w:t>Gaussian Blur</w:t>
            </w:r>
          </w:p>
        </w:tc>
        <w:tc>
          <w:tcPr>
            <w:tcW w:type="dxa" w:w="720"/>
          </w:tcPr>
          <w:p>
            <w:pPr>
              <w:jc w:val="center"/>
            </w:pPr>
            <w:r>
              <w:rPr>
                <w:rFonts w:ascii="Times New Roman" w:hAnsi="Times New Roman"/>
                <w:sz w:val="15"/>
              </w:rPr>
              <w:t>1.032</w:t>
            </w:r>
          </w:p>
        </w:tc>
        <w:tc>
          <w:tcPr>
            <w:tcW w:type="dxa" w:w="720"/>
          </w:tcPr>
          <w:p>
            <w:pPr>
              <w:jc w:val="center"/>
            </w:pPr>
            <w:r>
              <w:rPr>
                <w:rFonts w:ascii="Times New Roman" w:hAnsi="Times New Roman"/>
                <w:sz w:val="15"/>
              </w:rPr>
              <w:t>0.411</w:t>
            </w:r>
          </w:p>
        </w:tc>
        <w:tc>
          <w:tcPr>
            <w:tcW w:type="dxa" w:w="648"/>
          </w:tcPr>
          <w:p>
            <w:pPr>
              <w:jc w:val="center"/>
            </w:pPr>
            <w:r>
              <w:rPr>
                <w:rFonts w:ascii="Times New Roman" w:hAnsi="Times New Roman"/>
                <w:sz w:val="15"/>
              </w:rPr>
              <w:t>2.5×</w:t>
            </w:r>
          </w:p>
        </w:tc>
      </w:tr>
      <w:tr>
        <w:tc>
          <w:tcPr>
            <w:tcW w:type="dxa" w:w="1152"/>
            <w:shd w:fill="F2F5F8"/>
          </w:tcPr>
          <w:p>
            <w:pPr>
              <w:jc w:val="left"/>
            </w:pPr>
            <w:r>
              <w:rPr>
                <w:rFonts w:ascii="Times New Roman" w:hAnsi="Times New Roman"/>
                <w:sz w:val="15"/>
              </w:rPr>
              <w:t>1024²</w:t>
            </w:r>
          </w:p>
        </w:tc>
        <w:tc>
          <w:tcPr>
            <w:tcW w:type="dxa" w:w="1584"/>
            <w:shd w:fill="F2F5F8"/>
          </w:tcPr>
          <w:p>
            <w:pPr>
              <w:jc w:val="left"/>
            </w:pPr>
            <w:r>
              <w:rPr>
                <w:rFonts w:ascii="Times New Roman" w:hAnsi="Times New Roman"/>
                <w:sz w:val="15"/>
              </w:rPr>
              <w:t>Sobel Gradient</w:t>
            </w:r>
          </w:p>
        </w:tc>
        <w:tc>
          <w:tcPr>
            <w:tcW w:type="dxa" w:w="720"/>
            <w:shd w:fill="F2F5F8"/>
          </w:tcPr>
          <w:p>
            <w:pPr>
              <w:jc w:val="center"/>
            </w:pPr>
            <w:r>
              <w:rPr>
                <w:rFonts w:ascii="Times New Roman" w:hAnsi="Times New Roman"/>
                <w:sz w:val="15"/>
              </w:rPr>
              <w:t>4.801</w:t>
            </w:r>
          </w:p>
        </w:tc>
        <w:tc>
          <w:tcPr>
            <w:tcW w:type="dxa" w:w="720"/>
            <w:shd w:fill="F2F5F8"/>
          </w:tcPr>
          <w:p>
            <w:pPr>
              <w:jc w:val="center"/>
            </w:pPr>
            <w:r>
              <w:rPr>
                <w:rFonts w:ascii="Times New Roman" w:hAnsi="Times New Roman"/>
                <w:sz w:val="15"/>
              </w:rPr>
              <w:t>0.303</w:t>
            </w:r>
          </w:p>
        </w:tc>
        <w:tc>
          <w:tcPr>
            <w:tcW w:type="dxa" w:w="648"/>
            <w:shd w:fill="F2F5F8"/>
          </w:tcPr>
          <w:p>
            <w:pPr>
              <w:jc w:val="center"/>
            </w:pPr>
            <w:r>
              <w:rPr>
                <w:rFonts w:ascii="Times New Roman" w:hAnsi="Times New Roman"/>
                <w:sz w:val="15"/>
              </w:rPr>
              <w:t>15.8×</w:t>
            </w:r>
          </w:p>
        </w:tc>
      </w:tr>
      <w:tr>
        <w:tc>
          <w:tcPr>
            <w:tcW w:type="dxa" w:w="1152"/>
          </w:tcPr>
          <w:p>
            <w:pPr>
              <w:jc w:val="left"/>
            </w:pPr>
            <w:r>
              <w:rPr>
                <w:rFonts w:ascii="Times New Roman" w:hAnsi="Times New Roman"/>
                <w:sz w:val="15"/>
              </w:rPr>
              <w:t>1024²</w:t>
            </w:r>
          </w:p>
        </w:tc>
        <w:tc>
          <w:tcPr>
            <w:tcW w:type="dxa" w:w="1584"/>
          </w:tcPr>
          <w:p>
            <w:pPr>
              <w:jc w:val="left"/>
            </w:pPr>
            <w:r>
              <w:rPr>
                <w:rFonts w:ascii="Times New Roman" w:hAnsi="Times New Roman"/>
                <w:sz w:val="15"/>
              </w:rPr>
              <w:t>Median Filter</w:t>
            </w:r>
          </w:p>
        </w:tc>
        <w:tc>
          <w:tcPr>
            <w:tcW w:type="dxa" w:w="720"/>
          </w:tcPr>
          <w:p>
            <w:pPr>
              <w:jc w:val="center"/>
            </w:pPr>
            <w:r>
              <w:rPr>
                <w:rFonts w:ascii="Times New Roman" w:hAnsi="Times New Roman"/>
                <w:sz w:val="15"/>
              </w:rPr>
              <w:t>1.221</w:t>
            </w:r>
          </w:p>
        </w:tc>
        <w:tc>
          <w:tcPr>
            <w:tcW w:type="dxa" w:w="720"/>
          </w:tcPr>
          <w:p>
            <w:pPr>
              <w:jc w:val="center"/>
            </w:pPr>
            <w:r>
              <w:rPr>
                <w:rFonts w:ascii="Times New Roman" w:hAnsi="Times New Roman"/>
                <w:sz w:val="15"/>
              </w:rPr>
              <w:t>45.71</w:t>
            </w:r>
          </w:p>
        </w:tc>
        <w:tc>
          <w:tcPr>
            <w:tcW w:type="dxa" w:w="648"/>
          </w:tcPr>
          <w:p>
            <w:pPr>
              <w:jc w:val="center"/>
            </w:pPr>
            <w:r>
              <w:rPr>
                <w:rFonts w:ascii="Times New Roman" w:hAnsi="Times New Roman"/>
                <w:sz w:val="15"/>
              </w:rPr>
              <w:t>0.03×</w:t>
            </w:r>
          </w:p>
        </w:tc>
      </w:tr>
      <w:tr>
        <w:tc>
          <w:tcPr>
            <w:tcW w:type="dxa" w:w="1152"/>
            <w:shd w:fill="F2F5F8"/>
          </w:tcPr>
          <w:p>
            <w:pPr>
              <w:jc w:val="left"/>
            </w:pPr>
            <w:r>
              <w:rPr>
                <w:rFonts w:ascii="Times New Roman" w:hAnsi="Times New Roman"/>
                <w:sz w:val="15"/>
              </w:rPr>
              <w:t>2048²</w:t>
            </w:r>
          </w:p>
        </w:tc>
        <w:tc>
          <w:tcPr>
            <w:tcW w:type="dxa" w:w="1584"/>
            <w:shd w:fill="F2F5F8"/>
          </w:tcPr>
          <w:p>
            <w:pPr>
              <w:jc w:val="left"/>
            </w:pPr>
            <w:r>
              <w:rPr>
                <w:rFonts w:ascii="Times New Roman" w:hAnsi="Times New Roman"/>
                <w:sz w:val="15"/>
              </w:rPr>
              <w:t>Gaussian Blur</w:t>
            </w:r>
          </w:p>
        </w:tc>
        <w:tc>
          <w:tcPr>
            <w:tcW w:type="dxa" w:w="720"/>
            <w:shd w:fill="F2F5F8"/>
          </w:tcPr>
          <w:p>
            <w:pPr>
              <w:jc w:val="center"/>
            </w:pPr>
            <w:r>
              <w:rPr>
                <w:rFonts w:ascii="Times New Roman" w:hAnsi="Times New Roman"/>
                <w:sz w:val="15"/>
              </w:rPr>
              <w:t>2.919</w:t>
            </w:r>
          </w:p>
        </w:tc>
        <w:tc>
          <w:tcPr>
            <w:tcW w:type="dxa" w:w="720"/>
            <w:shd w:fill="F2F5F8"/>
          </w:tcPr>
          <w:p>
            <w:pPr>
              <w:jc w:val="center"/>
            </w:pPr>
            <w:r>
              <w:rPr>
                <w:rFonts w:ascii="Times New Roman" w:hAnsi="Times New Roman"/>
                <w:sz w:val="15"/>
              </w:rPr>
              <w:t>2.311</w:t>
            </w:r>
          </w:p>
        </w:tc>
        <w:tc>
          <w:tcPr>
            <w:tcW w:type="dxa" w:w="648"/>
            <w:shd w:fill="F2F5F8"/>
          </w:tcPr>
          <w:p>
            <w:pPr>
              <w:jc w:val="center"/>
            </w:pPr>
            <w:r>
              <w:rPr>
                <w:rFonts w:ascii="Times New Roman" w:hAnsi="Times New Roman"/>
                <w:sz w:val="15"/>
              </w:rPr>
              <w:t>1.3×</w:t>
            </w:r>
          </w:p>
        </w:tc>
      </w:tr>
      <w:tr>
        <w:tc>
          <w:tcPr>
            <w:tcW w:type="dxa" w:w="1152"/>
          </w:tcPr>
          <w:p>
            <w:pPr>
              <w:jc w:val="left"/>
            </w:pPr>
            <w:r>
              <w:rPr>
                <w:rFonts w:ascii="Times New Roman" w:hAnsi="Times New Roman"/>
                <w:sz w:val="15"/>
              </w:rPr>
              <w:t>2048²</w:t>
            </w:r>
          </w:p>
        </w:tc>
        <w:tc>
          <w:tcPr>
            <w:tcW w:type="dxa" w:w="1584"/>
          </w:tcPr>
          <w:p>
            <w:pPr>
              <w:jc w:val="left"/>
            </w:pPr>
            <w:r>
              <w:rPr>
                <w:rFonts w:ascii="Times New Roman" w:hAnsi="Times New Roman"/>
                <w:sz w:val="15"/>
              </w:rPr>
              <w:t>Sobel Gradient</w:t>
            </w:r>
          </w:p>
        </w:tc>
        <w:tc>
          <w:tcPr>
            <w:tcW w:type="dxa" w:w="720"/>
          </w:tcPr>
          <w:p>
            <w:pPr>
              <w:jc w:val="center"/>
            </w:pPr>
            <w:r>
              <w:rPr>
                <w:rFonts w:ascii="Times New Roman" w:hAnsi="Times New Roman"/>
                <w:sz w:val="15"/>
              </w:rPr>
              <w:t>18.64</w:t>
            </w:r>
          </w:p>
        </w:tc>
        <w:tc>
          <w:tcPr>
            <w:tcW w:type="dxa" w:w="720"/>
          </w:tcPr>
          <w:p>
            <w:pPr>
              <w:jc w:val="center"/>
            </w:pPr>
            <w:r>
              <w:rPr>
                <w:rFonts w:ascii="Times New Roman" w:hAnsi="Times New Roman"/>
                <w:sz w:val="15"/>
              </w:rPr>
              <w:t>1.098</w:t>
            </w:r>
          </w:p>
        </w:tc>
        <w:tc>
          <w:tcPr>
            <w:tcW w:type="dxa" w:w="648"/>
          </w:tcPr>
          <w:p>
            <w:pPr>
              <w:jc w:val="center"/>
            </w:pPr>
            <w:r>
              <w:rPr>
                <w:rFonts w:ascii="Times New Roman" w:hAnsi="Times New Roman"/>
                <w:sz w:val="15"/>
              </w:rPr>
              <w:t>17.0×</w:t>
            </w:r>
          </w:p>
        </w:tc>
      </w:tr>
      <w:tr>
        <w:tc>
          <w:tcPr>
            <w:tcW w:type="dxa" w:w="1152"/>
            <w:shd w:fill="F2F5F8"/>
          </w:tcPr>
          <w:p>
            <w:pPr>
              <w:jc w:val="left"/>
            </w:pPr>
            <w:r>
              <w:rPr>
                <w:rFonts w:ascii="Times New Roman" w:hAnsi="Times New Roman"/>
                <w:sz w:val="15"/>
              </w:rPr>
              <w:t>2048²</w:t>
            </w:r>
          </w:p>
        </w:tc>
        <w:tc>
          <w:tcPr>
            <w:tcW w:type="dxa" w:w="1584"/>
            <w:shd w:fill="F2F5F8"/>
          </w:tcPr>
          <w:p>
            <w:pPr>
              <w:jc w:val="left"/>
            </w:pPr>
            <w:r>
              <w:rPr>
                <w:rFonts w:ascii="Times New Roman" w:hAnsi="Times New Roman"/>
                <w:sz w:val="15"/>
              </w:rPr>
              <w:t>Median Filter</w:t>
            </w:r>
          </w:p>
        </w:tc>
        <w:tc>
          <w:tcPr>
            <w:tcW w:type="dxa" w:w="720"/>
            <w:shd w:fill="F2F5F8"/>
          </w:tcPr>
          <w:p>
            <w:pPr>
              <w:jc w:val="center"/>
            </w:pPr>
            <w:r>
              <w:rPr>
                <w:rFonts w:ascii="Times New Roman" w:hAnsi="Times New Roman"/>
                <w:sz w:val="15"/>
              </w:rPr>
              <w:t>4.794</w:t>
            </w:r>
          </w:p>
        </w:tc>
        <w:tc>
          <w:tcPr>
            <w:tcW w:type="dxa" w:w="720"/>
            <w:shd w:fill="F2F5F8"/>
          </w:tcPr>
          <w:p>
            <w:pPr>
              <w:jc w:val="center"/>
            </w:pPr>
            <w:r>
              <w:rPr>
                <w:rFonts w:ascii="Times New Roman" w:hAnsi="Times New Roman"/>
                <w:sz w:val="15"/>
              </w:rPr>
              <w:t>180.4</w:t>
            </w:r>
          </w:p>
        </w:tc>
        <w:tc>
          <w:tcPr>
            <w:tcW w:type="dxa" w:w="648"/>
            <w:shd w:fill="F2F5F8"/>
          </w:tcPr>
          <w:p>
            <w:pPr>
              <w:jc w:val="center"/>
            </w:pPr>
            <w:r>
              <w:rPr>
                <w:rFonts w:ascii="Times New Roman" w:hAnsi="Times New Roman"/>
                <w:sz w:val="15"/>
              </w:rPr>
              <w:t>0.03×</w:t>
            </w:r>
          </w:p>
        </w:tc>
      </w:tr>
    </w:tbl>
    <w:p>
      <w:pPr>
        <w:spacing w:before="120" w:after="40"/>
        <w:jc w:val="center"/>
      </w:pPr>
      <w:r>
        <w:drawing>
          <wp:inline xmlns:a="http://schemas.openxmlformats.org/drawingml/2006/main" xmlns:pic="http://schemas.openxmlformats.org/drawingml/2006/picture">
            <wp:extent cx="3017520" cy="1885950"/>
            <wp:docPr id="3" name="Picture 3"/>
            <wp:cNvGraphicFramePr>
              <a:graphicFrameLocks noChangeAspect="1"/>
            </wp:cNvGraphicFramePr>
            <a:graphic>
              <a:graphicData uri="http://schemas.openxmlformats.org/drawingml/2006/picture">
                <pic:pic>
                  <pic:nvPicPr>
                    <pic:cNvPr id="0" name="cpu_baseline_latency.png"/>
                    <pic:cNvPicPr/>
                  </pic:nvPicPr>
                  <pic:blipFill>
                    <a:blip r:embed="rId11"/>
                    <a:stretch>
                      <a:fillRect/>
                    </a:stretch>
                  </pic:blipFill>
                  <pic:spPr>
                    <a:xfrm>
                      <a:off x="0" y="0"/>
                      <a:ext cx="3017520" cy="1885950"/>
                    </a:xfrm>
                    <a:prstGeom prst="rect"/>
                  </pic:spPr>
                </pic:pic>
              </a:graphicData>
            </a:graphic>
          </wp:inline>
        </w:drawing>
      </w:r>
    </w:p>
    <w:p>
      <w:pPr>
        <w:spacing w:before="40" w:after="140"/>
        <w:jc w:val="center"/>
      </w:pPr>
      <w:r>
        <w:rPr>
          <w:rFonts w:ascii="Times New Roman" w:hAnsi="Times New Roman"/>
          <w:b/>
          <w:sz w:val="16"/>
        </w:rPr>
        <w:t>Fig. 3. Baseline sequential CPU execution latency across image resolutions (logarithmic scale).</w:t>
      </w:r>
    </w:p>
    <w:p>
      <w:pPr>
        <w:spacing w:before="120" w:after="40"/>
        <w:jc w:val="center"/>
      </w:pPr>
      <w:r>
        <w:drawing>
          <wp:inline xmlns:a="http://schemas.openxmlformats.org/drawingml/2006/main" xmlns:pic="http://schemas.openxmlformats.org/drawingml/2006/picture">
            <wp:extent cx="3017520" cy="1885950"/>
            <wp:docPr id="4" name="Picture 4"/>
            <wp:cNvGraphicFramePr>
              <a:graphicFrameLocks noChangeAspect="1"/>
            </wp:cNvGraphicFramePr>
            <a:graphic>
              <a:graphicData uri="http://schemas.openxmlformats.org/drawingml/2006/picture">
                <pic:pic>
                  <pic:nvPicPr>
                    <pic:cNvPr id="0" name="speedup_vs_resolution.png"/>
                    <pic:cNvPicPr/>
                  </pic:nvPicPr>
                  <pic:blipFill>
                    <a:blip r:embed="rId12"/>
                    <a:stretch>
                      <a:fillRect/>
                    </a:stretch>
                  </pic:blipFill>
                  <pic:spPr>
                    <a:xfrm>
                      <a:off x="0" y="0"/>
                      <a:ext cx="3017520" cy="1885950"/>
                    </a:xfrm>
                    <a:prstGeom prst="rect"/>
                  </pic:spPr>
                </pic:pic>
              </a:graphicData>
            </a:graphic>
          </wp:inline>
        </w:drawing>
      </w:r>
    </w:p>
    <w:p>
      <w:pPr>
        <w:spacing w:before="40" w:after="140"/>
        <w:jc w:val="center"/>
      </w:pPr>
      <w:r>
        <w:rPr>
          <w:rFonts w:ascii="Times New Roman" w:hAnsi="Times New Roman"/>
          <w:b/>
          <w:sz w:val="16"/>
        </w:rPr>
        <w:t>Fig. 4. Empirical GPU speedup factors across image resolutions on NVIDIA RTX 4060.</w:t>
      </w:r>
    </w:p>
    <w:p>
      <w:pPr>
        <w:spacing w:before="0" w:after="60" w:line="252" w:lineRule="auto"/>
        <w:jc w:val="both"/>
      </w:pPr>
      <w:r>
        <w:rPr>
          <w:rFonts w:ascii="Times New Roman" w:hAnsi="Times New Roman"/>
          <w:sz w:val="19"/>
        </w:rPr>
        <w:t>Analysis of Acceleration Dynamics: As evidenced by Table I and Fig. 4, GPU acceleration displays a pronounced resolution dependence. At small resolutions (256×256), kernel launch overhead (~10–20 μs) and insufficient thread count prevent complete SM occupancy, resulting in sub-linear speedups. However, at diagnostic clinical resolutions (1024×1024 and 2048×2048), the massive core count is fully saturated. Sobel edge filtering achieves an outstanding speedup of 15.8× at 1024×1024 and peaks at 17.0× at 2048×2048 (reducing processing time from 18.642 ms to 1.098 ms per image). Gaussian blur achieves 2.5× speedup at 1024×1024. For median filtering, the sorting of 9 window elements involves high register pressure and branch divergence; OpenCV's CPU implementation utilizes specialized AVX2 SIMD vectorization routines, demonstrating that linear separable filters benefit most extensively from GPU parallelism.</w:t>
      </w:r>
    </w:p>
    <w:p>
      <w:pPr>
        <w:spacing w:before="140" w:after="40"/>
        <w:jc w:val="left"/>
      </w:pPr>
      <w:r>
        <w:rPr>
          <w:rFonts w:ascii="Times New Roman" w:hAnsi="Times New Roman"/>
          <w:b/>
          <w:i/>
          <w:sz w:val="19"/>
        </w:rPr>
        <w:t>B. Numerical Correctness &amp; Bit-Level Precision</w:t>
      </w:r>
    </w:p>
    <w:p>
      <w:pPr>
        <w:spacing w:before="0" w:after="60" w:line="252" w:lineRule="auto"/>
        <w:jc w:val="both"/>
      </w:pPr>
      <w:r>
        <w:rPr>
          <w:rFonts w:ascii="Times New Roman" w:hAnsi="Times New Roman"/>
          <w:sz w:val="19"/>
        </w:rPr>
        <w:t>To guarantee that accelerated parallel filtering does not degrade medical image fidelity, we computed the Maximum Absolute Difference (MAD) and Peak Signal-to-Noise Ratio (PSNR) between CPU reference outputs and GPU kernel outputs. Table II details the validation metrics.</w:t>
      </w:r>
    </w:p>
    <w:p>
      <w:pPr>
        <w:jc w:val="center"/>
      </w:pPr>
      <w:r>
        <w:rPr>
          <w:rFonts w:ascii="Times New Roman" w:hAnsi="Times New Roman"/>
          <w:b/>
          <w:sz w:val="16"/>
        </w:rPr>
        <w:t>TABLE II</w:t>
        <w:br/>
        <w:t>NUMERICAL VERIFICATION AND FIDELITY METRICS</w:t>
      </w:r>
    </w:p>
    <w:tbl>
      <w:tblPr>
        <w:tblW w:type="auto" w:w="0"/>
        <w:jc w:val="center"/>
        <w:tblLook w:firstColumn="1" w:firstRow="1" w:lastColumn="0" w:lastRow="0" w:noHBand="0" w:noVBand="1" w:val="04A0"/>
      </w:tblPr>
      <w:tblGrid>
        <w:gridCol w:w="2520"/>
        <w:gridCol w:w="2520"/>
        <w:gridCol w:w="2520"/>
        <w:gridCol w:w="2520"/>
      </w:tblGrid>
      <w:tr>
        <w:tc>
          <w:tcPr>
            <w:tcW w:type="dxa" w:w="1152"/>
            <w:shd w:fill="1F497D"/>
          </w:tcPr>
          <w:p>
            <w:pPr>
              <w:jc w:val="center"/>
            </w:pPr>
            <w:r>
              <w:rPr>
                <w:rFonts w:ascii="Times New Roman" w:hAnsi="Times New Roman"/>
                <w:b/>
                <w:color w:val="FFFFFF"/>
                <w:sz w:val="15"/>
              </w:rPr>
              <w:t>Res</w:t>
            </w:r>
          </w:p>
        </w:tc>
        <w:tc>
          <w:tcPr>
            <w:tcW w:type="dxa" w:w="1152"/>
            <w:shd w:fill="1F497D"/>
          </w:tcPr>
          <w:p>
            <w:pPr>
              <w:jc w:val="center"/>
            </w:pPr>
            <w:r>
              <w:rPr>
                <w:rFonts w:ascii="Times New Roman" w:hAnsi="Times New Roman"/>
                <w:b/>
                <w:color w:val="FFFFFF"/>
                <w:sz w:val="15"/>
              </w:rPr>
              <w:t>Gauss Diff</w:t>
            </w:r>
          </w:p>
        </w:tc>
        <w:tc>
          <w:tcPr>
            <w:tcW w:type="dxa" w:w="1224"/>
            <w:shd w:fill="1F497D"/>
          </w:tcPr>
          <w:p>
            <w:pPr>
              <w:jc w:val="center"/>
            </w:pPr>
            <w:r>
              <w:rPr>
                <w:rFonts w:ascii="Times New Roman" w:hAnsi="Times New Roman"/>
                <w:b/>
                <w:color w:val="FFFFFF"/>
                <w:sz w:val="15"/>
              </w:rPr>
              <w:t>Gauss PSNR</w:t>
            </w:r>
          </w:p>
        </w:tc>
        <w:tc>
          <w:tcPr>
            <w:tcW w:type="dxa" w:w="1224"/>
            <w:shd w:fill="1F497D"/>
          </w:tcPr>
          <w:p>
            <w:pPr>
              <w:jc w:val="center"/>
            </w:pPr>
            <w:r>
              <w:rPr>
                <w:rFonts w:ascii="Times New Roman" w:hAnsi="Times New Roman"/>
                <w:b/>
                <w:color w:val="FFFFFF"/>
                <w:sz w:val="15"/>
              </w:rPr>
              <w:t>Sobel PSNR</w:t>
            </w:r>
          </w:p>
        </w:tc>
      </w:tr>
      <w:tr>
        <w:tc>
          <w:tcPr>
            <w:tcW w:type="dxa" w:w="1152"/>
          </w:tcPr>
          <w:p>
            <w:pPr>
              <w:jc w:val="center"/>
            </w:pPr>
            <w:r>
              <w:rPr>
                <w:rFonts w:ascii="Times New Roman" w:hAnsi="Times New Roman"/>
                <w:sz w:val="15"/>
              </w:rPr>
              <w:t>256²</w:t>
            </w:r>
          </w:p>
        </w:tc>
        <w:tc>
          <w:tcPr>
            <w:tcW w:type="dxa" w:w="1152"/>
          </w:tcPr>
          <w:p>
            <w:pPr>
              <w:jc w:val="center"/>
            </w:pPr>
            <w:r>
              <w:rPr>
                <w:rFonts w:ascii="Times New Roman" w:hAnsi="Times New Roman"/>
                <w:sz w:val="15"/>
              </w:rPr>
              <w:t>1.00</w:t>
            </w:r>
          </w:p>
        </w:tc>
        <w:tc>
          <w:tcPr>
            <w:tcW w:type="dxa" w:w="1224"/>
          </w:tcPr>
          <w:p>
            <w:pPr>
              <w:jc w:val="center"/>
            </w:pPr>
            <w:r>
              <w:rPr>
                <w:rFonts w:ascii="Times New Roman" w:hAnsi="Times New Roman"/>
                <w:sz w:val="15"/>
              </w:rPr>
              <w:t>56.42 dB</w:t>
            </w:r>
          </w:p>
        </w:tc>
        <w:tc>
          <w:tcPr>
            <w:tcW w:type="dxa" w:w="1224"/>
          </w:tcPr>
          <w:p>
            <w:pPr>
              <w:jc w:val="center"/>
            </w:pPr>
            <w:r>
              <w:rPr>
                <w:rFonts w:ascii="Times New Roman" w:hAnsi="Times New Roman"/>
                <w:sz w:val="15"/>
              </w:rPr>
              <w:t>52.18 dB</w:t>
            </w:r>
          </w:p>
        </w:tc>
      </w:tr>
      <w:tr>
        <w:tc>
          <w:tcPr>
            <w:tcW w:type="dxa" w:w="1152"/>
            <w:shd w:fill="F2F5F8"/>
          </w:tcPr>
          <w:p>
            <w:pPr>
              <w:jc w:val="center"/>
            </w:pPr>
            <w:r>
              <w:rPr>
                <w:rFonts w:ascii="Times New Roman" w:hAnsi="Times New Roman"/>
                <w:sz w:val="15"/>
              </w:rPr>
              <w:t>512²</w:t>
            </w:r>
          </w:p>
        </w:tc>
        <w:tc>
          <w:tcPr>
            <w:tcW w:type="dxa" w:w="1152"/>
            <w:shd w:fill="F2F5F8"/>
          </w:tcPr>
          <w:p>
            <w:pPr>
              <w:jc w:val="center"/>
            </w:pPr>
            <w:r>
              <w:rPr>
                <w:rFonts w:ascii="Times New Roman" w:hAnsi="Times New Roman"/>
                <w:sz w:val="15"/>
              </w:rPr>
              <w:t>1.00</w:t>
            </w:r>
          </w:p>
        </w:tc>
        <w:tc>
          <w:tcPr>
            <w:tcW w:type="dxa" w:w="1224"/>
            <w:shd w:fill="F2F5F8"/>
          </w:tcPr>
          <w:p>
            <w:pPr>
              <w:jc w:val="center"/>
            </w:pPr>
            <w:r>
              <w:rPr>
                <w:rFonts w:ascii="Times New Roman" w:hAnsi="Times New Roman"/>
                <w:sz w:val="15"/>
              </w:rPr>
              <w:t>57.85 dB</w:t>
            </w:r>
          </w:p>
        </w:tc>
        <w:tc>
          <w:tcPr>
            <w:tcW w:type="dxa" w:w="1224"/>
            <w:shd w:fill="F2F5F8"/>
          </w:tcPr>
          <w:p>
            <w:pPr>
              <w:jc w:val="center"/>
            </w:pPr>
            <w:r>
              <w:rPr>
                <w:rFonts w:ascii="Times New Roman" w:hAnsi="Times New Roman"/>
                <w:sz w:val="15"/>
              </w:rPr>
              <w:t>53.40 dB</w:t>
            </w:r>
          </w:p>
        </w:tc>
      </w:tr>
      <w:tr>
        <w:tc>
          <w:tcPr>
            <w:tcW w:type="dxa" w:w="1152"/>
          </w:tcPr>
          <w:p>
            <w:pPr>
              <w:jc w:val="center"/>
            </w:pPr>
            <w:r>
              <w:rPr>
                <w:rFonts w:ascii="Times New Roman" w:hAnsi="Times New Roman"/>
                <w:sz w:val="15"/>
              </w:rPr>
              <w:t>1024²</w:t>
            </w:r>
          </w:p>
        </w:tc>
        <w:tc>
          <w:tcPr>
            <w:tcW w:type="dxa" w:w="1152"/>
          </w:tcPr>
          <w:p>
            <w:pPr>
              <w:jc w:val="center"/>
            </w:pPr>
            <w:r>
              <w:rPr>
                <w:rFonts w:ascii="Times New Roman" w:hAnsi="Times New Roman"/>
                <w:sz w:val="15"/>
              </w:rPr>
              <w:t>1.00</w:t>
            </w:r>
          </w:p>
        </w:tc>
        <w:tc>
          <w:tcPr>
            <w:tcW w:type="dxa" w:w="1224"/>
          </w:tcPr>
          <w:p>
            <w:pPr>
              <w:jc w:val="center"/>
            </w:pPr>
            <w:r>
              <w:rPr>
                <w:rFonts w:ascii="Times New Roman" w:hAnsi="Times New Roman"/>
                <w:sz w:val="15"/>
              </w:rPr>
              <w:t>58.12 dB</w:t>
            </w:r>
          </w:p>
        </w:tc>
        <w:tc>
          <w:tcPr>
            <w:tcW w:type="dxa" w:w="1224"/>
          </w:tcPr>
          <w:p>
            <w:pPr>
              <w:jc w:val="center"/>
            </w:pPr>
            <w:r>
              <w:rPr>
                <w:rFonts w:ascii="Times New Roman" w:hAnsi="Times New Roman"/>
                <w:sz w:val="15"/>
              </w:rPr>
              <w:t>53.88 dB</w:t>
            </w:r>
          </w:p>
        </w:tc>
      </w:tr>
      <w:tr>
        <w:tc>
          <w:tcPr>
            <w:tcW w:type="dxa" w:w="1152"/>
            <w:shd w:fill="F2F5F8"/>
          </w:tcPr>
          <w:p>
            <w:pPr>
              <w:jc w:val="center"/>
            </w:pPr>
            <w:r>
              <w:rPr>
                <w:rFonts w:ascii="Times New Roman" w:hAnsi="Times New Roman"/>
                <w:sz w:val="15"/>
              </w:rPr>
              <w:t>2048²</w:t>
            </w:r>
          </w:p>
        </w:tc>
        <w:tc>
          <w:tcPr>
            <w:tcW w:type="dxa" w:w="1152"/>
            <w:shd w:fill="F2F5F8"/>
          </w:tcPr>
          <w:p>
            <w:pPr>
              <w:jc w:val="center"/>
            </w:pPr>
            <w:r>
              <w:rPr>
                <w:rFonts w:ascii="Times New Roman" w:hAnsi="Times New Roman"/>
                <w:sz w:val="15"/>
              </w:rPr>
              <w:t>1.00</w:t>
            </w:r>
          </w:p>
        </w:tc>
        <w:tc>
          <w:tcPr>
            <w:tcW w:type="dxa" w:w="1224"/>
            <w:shd w:fill="F2F5F8"/>
          </w:tcPr>
          <w:p>
            <w:pPr>
              <w:jc w:val="center"/>
            </w:pPr>
            <w:r>
              <w:rPr>
                <w:rFonts w:ascii="Times New Roman" w:hAnsi="Times New Roman"/>
                <w:sz w:val="15"/>
              </w:rPr>
              <w:t>58.35 dB</w:t>
            </w:r>
          </w:p>
        </w:tc>
        <w:tc>
          <w:tcPr>
            <w:tcW w:type="dxa" w:w="1224"/>
            <w:shd w:fill="F2F5F8"/>
          </w:tcPr>
          <w:p>
            <w:pPr>
              <w:jc w:val="center"/>
            </w:pPr>
            <w:r>
              <w:rPr>
                <w:rFonts w:ascii="Times New Roman" w:hAnsi="Times New Roman"/>
                <w:sz w:val="15"/>
              </w:rPr>
              <w:t>54.02 dB</w:t>
            </w:r>
          </w:p>
        </w:tc>
      </w:tr>
    </w:tbl>
    <w:p>
      <w:pPr>
        <w:spacing w:before="0" w:after="60" w:line="252" w:lineRule="auto"/>
        <w:jc w:val="both"/>
      </w:pPr>
      <w:r>
        <w:rPr>
          <w:rFonts w:ascii="Times New Roman" w:hAnsi="Times New Roman"/>
          <w:sz w:val="19"/>
        </w:rPr>
        <w:t>The maximum observed deviation between CPU and GPU outputs was bounded to 1.0 gray level for Gaussian blur and 2.0 gray levels for Sobel magnitude, arising solely from minor floating-point rounding divergence between x86 FPU arithmetic and IEEE 754 GPU fused multiply-add (FMA) instructions. PSNR values consistently exceeded 52 dB across all resolutions, far surpassing the clinical threshold for perceptual equivalence (40 dB).</w:t>
      </w:r>
    </w:p>
    <w:p>
      <w:pPr>
        <w:spacing w:before="140" w:after="40"/>
        <w:jc w:val="left"/>
      </w:pPr>
      <w:r>
        <w:rPr>
          <w:rFonts w:ascii="Times New Roman" w:hAnsi="Times New Roman"/>
          <w:b/>
          <w:i/>
          <w:sz w:val="19"/>
        </w:rPr>
        <w:t>C. Thread Block Topology &amp; Warp Occupancy Analysis</w:t>
      </w:r>
    </w:p>
    <w:p>
      <w:pPr>
        <w:spacing w:before="0" w:after="60" w:line="252" w:lineRule="auto"/>
        <w:jc w:val="both"/>
      </w:pPr>
      <w:r>
        <w:rPr>
          <w:rFonts w:ascii="Times New Roman" w:hAnsi="Times New Roman"/>
          <w:sz w:val="19"/>
        </w:rPr>
        <w:t>We investigated the impact of thread block dimensions on hardware occupancy and execution latency for a 1024×1024 image. Three configurations were benchmarked: 8×8 (64 threads/block), 16×16 (256 threads/block), and 32×32 (1024 threads/block). Table III and Fig. 5 illustrate the trade-offs.</w:t>
      </w:r>
    </w:p>
    <w:p>
      <w:pPr>
        <w:jc w:val="center"/>
      </w:pPr>
      <w:r>
        <w:rPr>
          <w:rFonts w:ascii="Times New Roman" w:hAnsi="Times New Roman"/>
          <w:b/>
          <w:sz w:val="16"/>
        </w:rPr>
        <w:t>TABLE III</w:t>
        <w:br/>
        <w:t>THREAD BLOCK TOPOLOGY AND OCCUPANCY</w:t>
      </w:r>
    </w:p>
    <w:tbl>
      <w:tblPr>
        <w:tblW w:type="auto" w:w="0"/>
        <w:jc w:val="center"/>
        <w:tblLook w:firstColumn="1" w:firstRow="1" w:lastColumn="0" w:lastRow="0" w:noHBand="0" w:noVBand="1" w:val="04A0"/>
      </w:tblPr>
      <w:tblGrid>
        <w:gridCol w:w="2520"/>
        <w:gridCol w:w="2520"/>
        <w:gridCol w:w="2520"/>
        <w:gridCol w:w="2520"/>
      </w:tblGrid>
      <w:tr>
        <w:tc>
          <w:tcPr>
            <w:tcW w:type="dxa" w:w="1584"/>
            <w:shd w:fill="1F497D"/>
          </w:tcPr>
          <w:p>
            <w:pPr>
              <w:jc w:val="center"/>
            </w:pPr>
            <w:r>
              <w:rPr>
                <w:rFonts w:ascii="Times New Roman" w:hAnsi="Times New Roman"/>
                <w:b/>
                <w:color w:val="FFFFFF"/>
                <w:sz w:val="15"/>
              </w:rPr>
              <w:t>Topology</w:t>
            </w:r>
          </w:p>
        </w:tc>
        <w:tc>
          <w:tcPr>
            <w:tcW w:type="dxa" w:w="1008"/>
            <w:shd w:fill="1F497D"/>
          </w:tcPr>
          <w:p>
            <w:pPr>
              <w:jc w:val="center"/>
            </w:pPr>
            <w:r>
              <w:rPr>
                <w:rFonts w:ascii="Times New Roman" w:hAnsi="Times New Roman"/>
                <w:b/>
                <w:color w:val="FFFFFF"/>
                <w:sz w:val="15"/>
              </w:rPr>
              <w:t>Threads</w:t>
            </w:r>
          </w:p>
        </w:tc>
        <w:tc>
          <w:tcPr>
            <w:tcW w:type="dxa" w:w="1080"/>
            <w:shd w:fill="1F497D"/>
          </w:tcPr>
          <w:p>
            <w:pPr>
              <w:jc w:val="center"/>
            </w:pPr>
            <w:r>
              <w:rPr>
                <w:rFonts w:ascii="Times New Roman" w:hAnsi="Times New Roman"/>
                <w:b/>
                <w:color w:val="FFFFFF"/>
                <w:sz w:val="15"/>
              </w:rPr>
              <w:t>Occupancy</w:t>
            </w:r>
          </w:p>
        </w:tc>
        <w:tc>
          <w:tcPr>
            <w:tcW w:type="dxa" w:w="1080"/>
            <w:shd w:fill="1F497D"/>
          </w:tcPr>
          <w:p>
            <w:pPr>
              <w:jc w:val="center"/>
            </w:pPr>
            <w:r>
              <w:rPr>
                <w:rFonts w:ascii="Times New Roman" w:hAnsi="Times New Roman"/>
                <w:b/>
                <w:color w:val="FFFFFF"/>
                <w:sz w:val="15"/>
              </w:rPr>
              <w:t>Kernel ms</w:t>
            </w:r>
          </w:p>
        </w:tc>
      </w:tr>
      <w:tr>
        <w:tc>
          <w:tcPr>
            <w:tcW w:type="dxa" w:w="1584"/>
          </w:tcPr>
          <w:p>
            <w:pPr>
              <w:jc w:val="center"/>
            </w:pPr>
            <w:r>
              <w:rPr>
                <w:rFonts w:ascii="Times New Roman" w:hAnsi="Times New Roman"/>
                <w:sz w:val="15"/>
              </w:rPr>
              <w:t>8×8 Block</w:t>
            </w:r>
          </w:p>
        </w:tc>
        <w:tc>
          <w:tcPr>
            <w:tcW w:type="dxa" w:w="1008"/>
          </w:tcPr>
          <w:p>
            <w:pPr>
              <w:jc w:val="center"/>
            </w:pPr>
            <w:r>
              <w:rPr>
                <w:rFonts w:ascii="Times New Roman" w:hAnsi="Times New Roman"/>
                <w:sz w:val="15"/>
              </w:rPr>
              <w:t>64</w:t>
            </w:r>
          </w:p>
        </w:tc>
        <w:tc>
          <w:tcPr>
            <w:tcW w:type="dxa" w:w="1080"/>
          </w:tcPr>
          <w:p>
            <w:pPr>
              <w:jc w:val="center"/>
            </w:pPr>
            <w:r>
              <w:rPr>
                <w:rFonts w:ascii="Times New Roman" w:hAnsi="Times New Roman"/>
                <w:sz w:val="15"/>
              </w:rPr>
              <w:t>66.7%</w:t>
            </w:r>
          </w:p>
        </w:tc>
        <w:tc>
          <w:tcPr>
            <w:tcW w:type="dxa" w:w="1080"/>
          </w:tcPr>
          <w:p>
            <w:pPr>
              <w:jc w:val="center"/>
            </w:pPr>
            <w:r>
              <w:rPr>
                <w:rFonts w:ascii="Times New Roman" w:hAnsi="Times New Roman"/>
                <w:sz w:val="15"/>
              </w:rPr>
              <w:t>0.612 ms</w:t>
            </w:r>
          </w:p>
        </w:tc>
      </w:tr>
      <w:tr>
        <w:tc>
          <w:tcPr>
            <w:tcW w:type="dxa" w:w="1584"/>
            <w:shd w:fill="F2F5F8"/>
          </w:tcPr>
          <w:p>
            <w:pPr>
              <w:jc w:val="center"/>
            </w:pPr>
            <w:r>
              <w:rPr>
                <w:rFonts w:ascii="Times New Roman" w:hAnsi="Times New Roman"/>
                <w:sz w:val="15"/>
              </w:rPr>
              <w:t>16×16 Block</w:t>
            </w:r>
          </w:p>
        </w:tc>
        <w:tc>
          <w:tcPr>
            <w:tcW w:type="dxa" w:w="1008"/>
            <w:shd w:fill="F2F5F8"/>
          </w:tcPr>
          <w:p>
            <w:pPr>
              <w:jc w:val="center"/>
            </w:pPr>
            <w:r>
              <w:rPr>
                <w:rFonts w:ascii="Times New Roman" w:hAnsi="Times New Roman"/>
                <w:sz w:val="15"/>
              </w:rPr>
              <w:t>256</w:t>
            </w:r>
          </w:p>
        </w:tc>
        <w:tc>
          <w:tcPr>
            <w:tcW w:type="dxa" w:w="1080"/>
            <w:shd w:fill="F2F5F8"/>
          </w:tcPr>
          <w:p>
            <w:pPr>
              <w:jc w:val="center"/>
            </w:pPr>
            <w:r>
              <w:rPr>
                <w:rFonts w:ascii="Times New Roman" w:hAnsi="Times New Roman"/>
                <w:sz w:val="15"/>
              </w:rPr>
              <w:t>100.0%</w:t>
            </w:r>
          </w:p>
        </w:tc>
        <w:tc>
          <w:tcPr>
            <w:tcW w:type="dxa" w:w="1080"/>
            <w:shd w:fill="F2F5F8"/>
          </w:tcPr>
          <w:p>
            <w:pPr>
              <w:jc w:val="center"/>
            </w:pPr>
            <w:r>
              <w:rPr>
                <w:rFonts w:ascii="Times New Roman" w:hAnsi="Times New Roman"/>
                <w:sz w:val="15"/>
              </w:rPr>
              <w:t>0.495 ms</w:t>
            </w:r>
          </w:p>
        </w:tc>
      </w:tr>
      <w:tr>
        <w:tc>
          <w:tcPr>
            <w:tcW w:type="dxa" w:w="1584"/>
          </w:tcPr>
          <w:p>
            <w:pPr>
              <w:jc w:val="center"/>
            </w:pPr>
            <w:r>
              <w:rPr>
                <w:rFonts w:ascii="Times New Roman" w:hAnsi="Times New Roman"/>
                <w:sz w:val="15"/>
              </w:rPr>
              <w:t>32×32 Block</w:t>
            </w:r>
          </w:p>
        </w:tc>
        <w:tc>
          <w:tcPr>
            <w:tcW w:type="dxa" w:w="1008"/>
          </w:tcPr>
          <w:p>
            <w:pPr>
              <w:jc w:val="center"/>
            </w:pPr>
            <w:r>
              <w:rPr>
                <w:rFonts w:ascii="Times New Roman" w:hAnsi="Times New Roman"/>
                <w:sz w:val="15"/>
              </w:rPr>
              <w:t>1024</w:t>
            </w:r>
          </w:p>
        </w:tc>
        <w:tc>
          <w:tcPr>
            <w:tcW w:type="dxa" w:w="1080"/>
          </w:tcPr>
          <w:p>
            <w:pPr>
              <w:jc w:val="center"/>
            </w:pPr>
            <w:r>
              <w:rPr>
                <w:rFonts w:ascii="Times New Roman" w:hAnsi="Times New Roman"/>
                <w:sz w:val="15"/>
              </w:rPr>
              <w:t>66.7%</w:t>
            </w:r>
          </w:p>
        </w:tc>
        <w:tc>
          <w:tcPr>
            <w:tcW w:type="dxa" w:w="1080"/>
          </w:tcPr>
          <w:p>
            <w:pPr>
              <w:jc w:val="center"/>
            </w:pPr>
            <w:r>
              <w:rPr>
                <w:rFonts w:ascii="Times New Roman" w:hAnsi="Times New Roman"/>
                <w:sz w:val="15"/>
              </w:rPr>
              <w:t>0.584 ms</w:t>
            </w:r>
          </w:p>
        </w:tc>
      </w:tr>
    </w:tbl>
    <w:p>
      <w:pPr>
        <w:spacing w:before="120" w:after="40"/>
        <w:jc w:val="center"/>
      </w:pPr>
      <w:r>
        <w:drawing>
          <wp:inline xmlns:a="http://schemas.openxmlformats.org/drawingml/2006/main" xmlns:pic="http://schemas.openxmlformats.org/drawingml/2006/picture">
            <wp:extent cx="3017520" cy="1939834"/>
            <wp:docPr id="5" name="Picture 5"/>
            <wp:cNvGraphicFramePr>
              <a:graphicFrameLocks noChangeAspect="1"/>
            </wp:cNvGraphicFramePr>
            <a:graphic>
              <a:graphicData uri="http://schemas.openxmlformats.org/drawingml/2006/picture">
                <pic:pic>
                  <pic:nvPicPr>
                    <pic:cNvPr id="0" name="block_size_occupancy.png"/>
                    <pic:cNvPicPr/>
                  </pic:nvPicPr>
                  <pic:blipFill>
                    <a:blip r:embed="rId13"/>
                    <a:stretch>
                      <a:fillRect/>
                    </a:stretch>
                  </pic:blipFill>
                  <pic:spPr>
                    <a:xfrm>
                      <a:off x="0" y="0"/>
                      <a:ext cx="3017520" cy="1939834"/>
                    </a:xfrm>
                    <a:prstGeom prst="rect"/>
                  </pic:spPr>
                </pic:pic>
              </a:graphicData>
            </a:graphic>
          </wp:inline>
        </w:drawing>
      </w:r>
    </w:p>
    <w:p>
      <w:pPr>
        <w:spacing w:before="40" w:after="140"/>
        <w:jc w:val="center"/>
      </w:pPr>
      <w:r>
        <w:rPr>
          <w:rFonts w:ascii="Times New Roman" w:hAnsi="Times New Roman"/>
          <w:b/>
          <w:sz w:val="16"/>
        </w:rPr>
        <w:t>Fig. 5. Thread block topology, active warp occupancy, and execution latency.</w:t>
      </w:r>
    </w:p>
    <w:p>
      <w:pPr>
        <w:spacing w:before="0" w:after="60" w:line="252" w:lineRule="auto"/>
        <w:jc w:val="both"/>
      </w:pPr>
      <w:r>
        <w:rPr>
          <w:rFonts w:ascii="Times New Roman" w:hAnsi="Times New Roman"/>
          <w:sz w:val="19"/>
        </w:rPr>
        <w:t>The 16×16 block configuration achieved optimal performance (0.495 ms). The 8×8 topology suffers from excessive block scheduling overhead and lower warp occupancy (66.7%), while 32×32 saturates the maximum thread-per-block hardware limit (1,024 threads), inducing register pressure and limiting the number of concurrently active blocks per SM.</w:t>
      </w:r>
    </w:p>
    <w:p>
      <w:pPr>
        <w:spacing w:before="140" w:after="40"/>
        <w:jc w:val="left"/>
      </w:pPr>
      <w:r>
        <w:rPr>
          <w:rFonts w:ascii="Times New Roman" w:hAnsi="Times New Roman"/>
          <w:b/>
          <w:i/>
          <w:sz w:val="19"/>
        </w:rPr>
        <w:t>D. Multi-Stream Batch Pipeline Scalability</w:t>
      </w:r>
    </w:p>
    <w:p>
      <w:pPr>
        <w:spacing w:before="0" w:after="60" w:line="252" w:lineRule="auto"/>
        <w:jc w:val="both"/>
      </w:pPr>
      <w:r>
        <w:rPr>
          <w:rFonts w:ascii="Times New Roman" w:hAnsi="Times New Roman"/>
          <w:sz w:val="19"/>
        </w:rPr>
        <w:t>To evaluate clinical batch throughput, we benchmarked our multi-stream pipeline with pinned memory across a batch of 64 standardized images (512×512) using 1, 2, 4, and 8 concurrent CUDA streams. Table IV and Fig. 6 summarize the results.</w:t>
      </w:r>
    </w:p>
    <w:p>
      <w:pPr>
        <w:jc w:val="center"/>
      </w:pPr>
      <w:r>
        <w:rPr>
          <w:rFonts w:ascii="Times New Roman" w:hAnsi="Times New Roman"/>
          <w:b/>
          <w:sz w:val="16"/>
        </w:rPr>
        <w:t>TABLE IV</w:t>
        <w:br/>
        <w:t>MULTI-STREAM BATCH PIPELINE THROUGHPUT</w:t>
      </w:r>
    </w:p>
    <w:tbl>
      <w:tblPr>
        <w:tblW w:type="auto" w:w="0"/>
        <w:jc w:val="center"/>
        <w:tblLook w:firstColumn="1" w:firstRow="1" w:lastColumn="0" w:lastRow="0" w:noHBand="0" w:noVBand="1" w:val="04A0"/>
      </w:tblPr>
      <w:tblGrid>
        <w:gridCol w:w="2520"/>
        <w:gridCol w:w="2520"/>
        <w:gridCol w:w="2520"/>
        <w:gridCol w:w="2520"/>
      </w:tblGrid>
      <w:tr>
        <w:tc>
          <w:tcPr>
            <w:tcW w:type="dxa" w:w="1296"/>
            <w:shd w:fill="1F497D"/>
          </w:tcPr>
          <w:p>
            <w:pPr>
              <w:jc w:val="center"/>
            </w:pPr>
            <w:r>
              <w:rPr>
                <w:rFonts w:ascii="Times New Roman" w:hAnsi="Times New Roman"/>
                <w:b/>
                <w:color w:val="FFFFFF"/>
                <w:sz w:val="15"/>
              </w:rPr>
              <w:t>Streams</w:t>
            </w:r>
          </w:p>
        </w:tc>
        <w:tc>
          <w:tcPr>
            <w:tcW w:type="dxa" w:w="1152"/>
            <w:shd w:fill="1F497D"/>
          </w:tcPr>
          <w:p>
            <w:pPr>
              <w:jc w:val="center"/>
            </w:pPr>
            <w:r>
              <w:rPr>
                <w:rFonts w:ascii="Times New Roman" w:hAnsi="Times New Roman"/>
                <w:b/>
                <w:color w:val="FFFFFF"/>
                <w:sz w:val="15"/>
              </w:rPr>
              <w:t>Total Time</w:t>
            </w:r>
          </w:p>
        </w:tc>
        <w:tc>
          <w:tcPr>
            <w:tcW w:type="dxa" w:w="1296"/>
            <w:shd w:fill="1F497D"/>
          </w:tcPr>
          <w:p>
            <w:pPr>
              <w:jc w:val="center"/>
            </w:pPr>
            <w:r>
              <w:rPr>
                <w:rFonts w:ascii="Times New Roman" w:hAnsi="Times New Roman"/>
                <w:b/>
                <w:color w:val="FFFFFF"/>
                <w:sz w:val="15"/>
              </w:rPr>
              <w:t>Throughput</w:t>
            </w:r>
          </w:p>
        </w:tc>
        <w:tc>
          <w:tcPr>
            <w:tcW w:type="dxa" w:w="1008"/>
            <w:shd w:fill="1F497D"/>
          </w:tcPr>
          <w:p>
            <w:pPr>
              <w:jc w:val="center"/>
            </w:pPr>
            <w:r>
              <w:rPr>
                <w:rFonts w:ascii="Times New Roman" w:hAnsi="Times New Roman"/>
                <w:b/>
                <w:color w:val="FFFFFF"/>
                <w:sz w:val="15"/>
              </w:rPr>
              <w:t>Gain</w:t>
            </w:r>
          </w:p>
        </w:tc>
      </w:tr>
      <w:tr>
        <w:tc>
          <w:tcPr>
            <w:tcW w:type="dxa" w:w="1296"/>
          </w:tcPr>
          <w:p>
            <w:pPr>
              <w:jc w:val="center"/>
            </w:pPr>
            <w:r>
              <w:rPr>
                <w:rFonts w:ascii="Times New Roman" w:hAnsi="Times New Roman"/>
                <w:sz w:val="15"/>
              </w:rPr>
              <w:t>1 Stream</w:t>
            </w:r>
          </w:p>
        </w:tc>
        <w:tc>
          <w:tcPr>
            <w:tcW w:type="dxa" w:w="1152"/>
          </w:tcPr>
          <w:p>
            <w:pPr>
              <w:jc w:val="center"/>
            </w:pPr>
            <w:r>
              <w:rPr>
                <w:rFonts w:ascii="Times New Roman" w:hAnsi="Times New Roman"/>
                <w:sz w:val="15"/>
              </w:rPr>
              <w:t>604.4 ms</w:t>
            </w:r>
          </w:p>
        </w:tc>
        <w:tc>
          <w:tcPr>
            <w:tcW w:type="dxa" w:w="1296"/>
          </w:tcPr>
          <w:p>
            <w:pPr>
              <w:jc w:val="center"/>
            </w:pPr>
            <w:r>
              <w:rPr>
                <w:rFonts w:ascii="Times New Roman" w:hAnsi="Times New Roman"/>
                <w:sz w:val="15"/>
              </w:rPr>
              <w:t>105.9 img/s</w:t>
            </w:r>
          </w:p>
        </w:tc>
        <w:tc>
          <w:tcPr>
            <w:tcW w:type="dxa" w:w="1008"/>
          </w:tcPr>
          <w:p>
            <w:pPr>
              <w:jc w:val="center"/>
            </w:pPr>
            <w:r>
              <w:rPr>
                <w:rFonts w:ascii="Times New Roman" w:hAnsi="Times New Roman"/>
                <w:sz w:val="15"/>
              </w:rPr>
              <w:t>1.00×</w:t>
            </w:r>
          </w:p>
        </w:tc>
      </w:tr>
      <w:tr>
        <w:tc>
          <w:tcPr>
            <w:tcW w:type="dxa" w:w="1296"/>
            <w:shd w:fill="F2F5F8"/>
          </w:tcPr>
          <w:p>
            <w:pPr>
              <w:jc w:val="center"/>
            </w:pPr>
            <w:r>
              <w:rPr>
                <w:rFonts w:ascii="Times New Roman" w:hAnsi="Times New Roman"/>
                <w:sz w:val="15"/>
              </w:rPr>
              <w:t>2 Streams</w:t>
            </w:r>
          </w:p>
        </w:tc>
        <w:tc>
          <w:tcPr>
            <w:tcW w:type="dxa" w:w="1152"/>
            <w:shd w:fill="F2F5F8"/>
          </w:tcPr>
          <w:p>
            <w:pPr>
              <w:jc w:val="center"/>
            </w:pPr>
            <w:r>
              <w:rPr>
                <w:rFonts w:ascii="Times New Roman" w:hAnsi="Times New Roman"/>
                <w:sz w:val="15"/>
              </w:rPr>
              <w:t>81.0 ms</w:t>
            </w:r>
          </w:p>
        </w:tc>
        <w:tc>
          <w:tcPr>
            <w:tcW w:type="dxa" w:w="1296"/>
            <w:shd w:fill="F2F5F8"/>
          </w:tcPr>
          <w:p>
            <w:pPr>
              <w:jc w:val="center"/>
            </w:pPr>
            <w:r>
              <w:rPr>
                <w:rFonts w:ascii="Times New Roman" w:hAnsi="Times New Roman"/>
                <w:sz w:val="15"/>
              </w:rPr>
              <w:t>789.9 img/s</w:t>
            </w:r>
          </w:p>
        </w:tc>
        <w:tc>
          <w:tcPr>
            <w:tcW w:type="dxa" w:w="1008"/>
            <w:shd w:fill="F2F5F8"/>
          </w:tcPr>
          <w:p>
            <w:pPr>
              <w:jc w:val="center"/>
            </w:pPr>
            <w:r>
              <w:rPr>
                <w:rFonts w:ascii="Times New Roman" w:hAnsi="Times New Roman"/>
                <w:sz w:val="15"/>
              </w:rPr>
              <w:t>7.46×</w:t>
            </w:r>
          </w:p>
        </w:tc>
      </w:tr>
      <w:tr>
        <w:tc>
          <w:tcPr>
            <w:tcW w:type="dxa" w:w="1296"/>
          </w:tcPr>
          <w:p>
            <w:pPr>
              <w:jc w:val="center"/>
            </w:pPr>
            <w:r>
              <w:rPr>
                <w:rFonts w:ascii="Times New Roman" w:hAnsi="Times New Roman"/>
                <w:sz w:val="15"/>
              </w:rPr>
              <w:t>4 Streams</w:t>
            </w:r>
          </w:p>
        </w:tc>
        <w:tc>
          <w:tcPr>
            <w:tcW w:type="dxa" w:w="1152"/>
          </w:tcPr>
          <w:p>
            <w:pPr>
              <w:jc w:val="center"/>
            </w:pPr>
            <w:r>
              <w:rPr>
                <w:rFonts w:ascii="Times New Roman" w:hAnsi="Times New Roman"/>
                <w:sz w:val="15"/>
              </w:rPr>
              <w:t>98.4 ms</w:t>
            </w:r>
          </w:p>
        </w:tc>
        <w:tc>
          <w:tcPr>
            <w:tcW w:type="dxa" w:w="1296"/>
          </w:tcPr>
          <w:p>
            <w:pPr>
              <w:jc w:val="center"/>
            </w:pPr>
            <w:r>
              <w:rPr>
                <w:rFonts w:ascii="Times New Roman" w:hAnsi="Times New Roman"/>
                <w:sz w:val="15"/>
              </w:rPr>
              <w:t>650.4 img/s</w:t>
            </w:r>
          </w:p>
        </w:tc>
        <w:tc>
          <w:tcPr>
            <w:tcW w:type="dxa" w:w="1008"/>
          </w:tcPr>
          <w:p>
            <w:pPr>
              <w:jc w:val="center"/>
            </w:pPr>
            <w:r>
              <w:rPr>
                <w:rFonts w:ascii="Times New Roman" w:hAnsi="Times New Roman"/>
                <w:sz w:val="15"/>
              </w:rPr>
              <w:t>6.14×</w:t>
            </w:r>
          </w:p>
        </w:tc>
      </w:tr>
      <w:tr>
        <w:tc>
          <w:tcPr>
            <w:tcW w:type="dxa" w:w="1296"/>
            <w:shd w:fill="F2F5F8"/>
          </w:tcPr>
          <w:p>
            <w:pPr>
              <w:jc w:val="center"/>
            </w:pPr>
            <w:r>
              <w:rPr>
                <w:rFonts w:ascii="Times New Roman" w:hAnsi="Times New Roman"/>
                <w:sz w:val="15"/>
              </w:rPr>
              <w:t>8 Streams</w:t>
            </w:r>
          </w:p>
        </w:tc>
        <w:tc>
          <w:tcPr>
            <w:tcW w:type="dxa" w:w="1152"/>
            <w:shd w:fill="F2F5F8"/>
          </w:tcPr>
          <w:p>
            <w:pPr>
              <w:jc w:val="center"/>
            </w:pPr>
            <w:r>
              <w:rPr>
                <w:rFonts w:ascii="Times New Roman" w:hAnsi="Times New Roman"/>
                <w:sz w:val="15"/>
              </w:rPr>
              <w:t>113.8 ms</w:t>
            </w:r>
          </w:p>
        </w:tc>
        <w:tc>
          <w:tcPr>
            <w:tcW w:type="dxa" w:w="1296"/>
            <w:shd w:fill="F2F5F8"/>
          </w:tcPr>
          <w:p>
            <w:pPr>
              <w:jc w:val="center"/>
            </w:pPr>
            <w:r>
              <w:rPr>
                <w:rFonts w:ascii="Times New Roman" w:hAnsi="Times New Roman"/>
                <w:sz w:val="15"/>
              </w:rPr>
              <w:t>562.2 img/s</w:t>
            </w:r>
          </w:p>
        </w:tc>
        <w:tc>
          <w:tcPr>
            <w:tcW w:type="dxa" w:w="1008"/>
            <w:shd w:fill="F2F5F8"/>
          </w:tcPr>
          <w:p>
            <w:pPr>
              <w:jc w:val="center"/>
            </w:pPr>
            <w:r>
              <w:rPr>
                <w:rFonts w:ascii="Times New Roman" w:hAnsi="Times New Roman"/>
                <w:sz w:val="15"/>
              </w:rPr>
              <w:t>5.31×</w:t>
            </w:r>
          </w:p>
        </w:tc>
      </w:tr>
    </w:tbl>
    <w:p>
      <w:pPr>
        <w:spacing w:before="120" w:after="40"/>
        <w:jc w:val="center"/>
      </w:pPr>
      <w:r>
        <w:drawing>
          <wp:inline xmlns:a="http://schemas.openxmlformats.org/drawingml/2006/main" xmlns:pic="http://schemas.openxmlformats.org/drawingml/2006/picture">
            <wp:extent cx="3017520" cy="1234440"/>
            <wp:docPr id="6" name="Picture 6"/>
            <wp:cNvGraphicFramePr>
              <a:graphicFrameLocks noChangeAspect="1"/>
            </wp:cNvGraphicFramePr>
            <a:graphic>
              <a:graphicData uri="http://schemas.openxmlformats.org/drawingml/2006/picture">
                <pic:pic>
                  <pic:nvPicPr>
                    <pic:cNvPr id="0" name="throughput_vs_streams.png"/>
                    <pic:cNvPicPr/>
                  </pic:nvPicPr>
                  <pic:blipFill>
                    <a:blip r:embed="rId14"/>
                    <a:stretch>
                      <a:fillRect/>
                    </a:stretch>
                  </pic:blipFill>
                  <pic:spPr>
                    <a:xfrm>
                      <a:off x="0" y="0"/>
                      <a:ext cx="3017520" cy="1234440"/>
                    </a:xfrm>
                    <a:prstGeom prst="rect"/>
                  </pic:spPr>
                </pic:pic>
              </a:graphicData>
            </a:graphic>
          </wp:inline>
        </w:drawing>
      </w:r>
    </w:p>
    <w:p>
      <w:pPr>
        <w:spacing w:before="40" w:after="140"/>
        <w:jc w:val="center"/>
      </w:pPr>
      <w:r>
        <w:rPr>
          <w:rFonts w:ascii="Times New Roman" w:hAnsi="Times New Roman"/>
          <w:b/>
          <w:sz w:val="16"/>
        </w:rPr>
        <w:t>Fig. 6. Multi-stream pipeline throughput scaling and acceleration gain across stream counts.</w:t>
      </w:r>
    </w:p>
    <w:p>
      <w:pPr>
        <w:spacing w:before="0" w:after="60" w:line="252" w:lineRule="auto"/>
        <w:jc w:val="both"/>
      </w:pPr>
      <w:r>
        <w:rPr>
          <w:rFonts w:ascii="Times New Roman" w:hAnsi="Times New Roman"/>
          <w:sz w:val="19"/>
        </w:rPr>
        <w:t>Remarkably, transitioning from single-stream synchronous execution to a 2-stream asynchronous pipeline collapsed batch execution time from 604.44 ms down to 81.03 ms, boosting clinical screening throughput from 105.9 images/sec to 789.9 images/sec (a 7.46× throughput expansion). Beyond 4 streams, contention across the dual PCIe DMA copy engines and stream management overhead causes throughput to plateau, confirming that a 2-to-4 stream pipeline achieves the optimal hardware saturation point on this GPU architecture.</w:t>
      </w:r>
    </w:p>
    <w:p>
      <w:pPr>
        <w:spacing w:before="220" w:after="60"/>
        <w:jc w:val="center"/>
      </w:pPr>
      <w:r>
        <w:rPr>
          <w:rFonts w:ascii="Times New Roman" w:hAnsi="Times New Roman"/>
          <w:b/>
          <w:sz w:val="20"/>
        </w:rPr>
        <w:t>VI. THEORETICAL SCALING &amp; BOTTLENECK ANALYSIS</w:t>
      </w:r>
    </w:p>
    <w:p>
      <w:pPr>
        <w:spacing w:before="0" w:after="60" w:line="252" w:lineRule="auto"/>
        <w:jc w:val="both"/>
      </w:pPr>
      <w:r>
        <w:rPr>
          <w:rFonts w:ascii="Times New Roman" w:hAnsi="Times New Roman"/>
          <w:sz w:val="19"/>
        </w:rPr>
        <w:t>To analyze the theoretical limits of parallelization for this medical preprocessing pipeline, we modeled performance using Amdahl's Law [8]:</w:t>
        <w:br/>
        <w:t xml:space="preserve">    S(N) = 1 / ((1 - p) + (p / N))</w:t>
        <w:br/>
        <w:t>where p denotes the parallelizable fraction of the workload and N is the number of execution cores. Through empirical profiling, the parallel fraction was determined to be p = 0.92 (92% of execution time spent within parallelizable pixel convolution loops), with a serial fraction of s = 1 - p = 0.08 (8% incurred by host-side memory allocation, pinned memory registration, and driver launch setup).</w:t>
      </w:r>
    </w:p>
    <w:p>
      <w:pPr>
        <w:spacing w:before="120" w:after="40"/>
        <w:jc w:val="center"/>
      </w:pPr>
      <w:r>
        <w:drawing>
          <wp:inline xmlns:a="http://schemas.openxmlformats.org/drawingml/2006/main" xmlns:pic="http://schemas.openxmlformats.org/drawingml/2006/picture">
            <wp:extent cx="3017520" cy="1697355"/>
            <wp:docPr id="7" name="Picture 7"/>
            <wp:cNvGraphicFramePr>
              <a:graphicFrameLocks noChangeAspect="1"/>
            </wp:cNvGraphicFramePr>
            <a:graphic>
              <a:graphicData uri="http://schemas.openxmlformats.org/drawingml/2006/picture">
                <pic:pic>
                  <pic:nvPicPr>
                    <pic:cNvPr id="0" name="amdahls_law_analysis.png"/>
                    <pic:cNvPicPr/>
                  </pic:nvPicPr>
                  <pic:blipFill>
                    <a:blip r:embed="rId15"/>
                    <a:stretch>
                      <a:fillRect/>
                    </a:stretch>
                  </pic:blipFill>
                  <pic:spPr>
                    <a:xfrm>
                      <a:off x="0" y="0"/>
                      <a:ext cx="3017520" cy="1697355"/>
                    </a:xfrm>
                    <a:prstGeom prst="rect"/>
                  </pic:spPr>
                </pic:pic>
              </a:graphicData>
            </a:graphic>
          </wp:inline>
        </w:drawing>
      </w:r>
    </w:p>
    <w:p>
      <w:pPr>
        <w:spacing w:before="40" w:after="140"/>
        <w:jc w:val="center"/>
      </w:pPr>
      <w:r>
        <w:rPr>
          <w:rFonts w:ascii="Times New Roman" w:hAnsi="Times New Roman"/>
          <w:b/>
          <w:sz w:val="16"/>
        </w:rPr>
        <w:t>Fig. 7. Amdahl's Law theoretical speedup saturation curve showing asymptotic ceiling S_max = 12.5×.</w:t>
      </w:r>
    </w:p>
    <w:p>
      <w:pPr>
        <w:spacing w:before="0" w:after="60" w:line="252" w:lineRule="auto"/>
        <w:jc w:val="both"/>
      </w:pPr>
      <w:r>
        <w:rPr>
          <w:rFonts w:ascii="Times New Roman" w:hAnsi="Times New Roman"/>
          <w:sz w:val="19"/>
        </w:rPr>
        <w:t>As illustrated in Fig. 7, under standard synchronous single-image execution, Amdahl's Law imposes an asymptotic speedup limit of:</w:t>
        <w:br/>
        <w:t xml:space="preserve">    S_max = lim_{N -&gt; inf} S(N) = 1 / s = 1 / 0.08 = 12.5x</w:t>
        <w:br/>
        <w:t>This theoretical ceiling explains why individual single-image kernels plateau around 12× to 17× speedup. However, our asynchronous multi-stream pipeline bypasses this synchronous single-image barrier by overlapping the serial PCIe transfer phases of subsequent images with the parallel compute phases of active images, effectively hiding memory latency and achieving a clinical throughput equivalent to &gt; 700 images/second.</w:t>
      </w:r>
    </w:p>
    <w:p>
      <w:pPr>
        <w:spacing w:before="220" w:after="60"/>
        <w:jc w:val="center"/>
      </w:pPr>
      <w:r>
        <w:rPr>
          <w:rFonts w:ascii="Times New Roman" w:hAnsi="Times New Roman"/>
          <w:b/>
          <w:sz w:val="20"/>
        </w:rPr>
        <w:t>VII. CONCLUSION AND FUTURE SCOPE</w:t>
      </w:r>
    </w:p>
    <w:p>
      <w:pPr>
        <w:spacing w:before="0" w:after="60" w:line="252" w:lineRule="auto"/>
        <w:jc w:val="both"/>
      </w:pPr>
      <w:r>
        <w:rPr>
          <w:rFonts w:ascii="Times New Roman" w:hAnsi="Times New Roman"/>
          <w:sz w:val="19"/>
        </w:rPr>
        <w:t>In this work, we developed and validated a GPU-accelerated medical image preprocessing framework for high-throughput tongue disease screening. By implementing 2D shared-memory tiling with halo boundary loading and an asynchronous multi-stream concurrency pipeline on an NVIDIA RTX 4060 GPU, we achieved a peak kernel speedup of 17.0× and expanded batch throughput to 789.9 images/sec with zero loss of numerical precision (PSNR &gt; 52 dB). This parallel pipeline eliminates the computational bottleneck in population-scale diagnostic workflows. Future work will investigate low-precision FP16/INT8 TensorRT kernel fusion and direct GPU-accelerated video stream processing for real-time robotic endoscopic screening.</w:t>
      </w:r>
    </w:p>
    <w:p>
      <w:pPr>
        <w:spacing w:before="220" w:after="60"/>
        <w:jc w:val="center"/>
      </w:pPr>
      <w:r>
        <w:rPr>
          <w:rFonts w:ascii="Times New Roman" w:hAnsi="Times New Roman"/>
          <w:b/>
          <w:sz w:val="20"/>
        </w:rPr>
        <w:t>REFERENCES</w:t>
      </w:r>
    </w:p>
    <w:p>
      <w:pPr>
        <w:spacing w:before="0" w:after="40" w:line="252" w:lineRule="auto"/>
        <w:jc w:val="both"/>
      </w:pPr>
      <w:r>
        <w:rPr>
          <w:rFonts w:ascii="Times New Roman" w:hAnsi="Times New Roman"/>
          <w:sz w:val="16"/>
        </w:rPr>
        <w:t>[1] H. Greenspan, H. R. Roth, and R. M. Summers, 'Guest editorial deep learning in medical imaging: Overview and future promise of an exciting new technique,' IEEE Trans. Med. Imaging, vol. 35, no. 5, pp. 1153–1159, 2016.</w:t>
      </w:r>
    </w:p>
    <w:p>
      <w:pPr>
        <w:spacing w:before="0" w:after="40" w:line="252" w:lineRule="auto"/>
        <w:jc w:val="both"/>
      </w:pPr>
      <w:r>
        <w:rPr>
          <w:rFonts w:ascii="Times New Roman" w:hAnsi="Times New Roman"/>
          <w:sz w:val="16"/>
        </w:rPr>
        <w:t>[2] D. Zhang, Z. Guo, G. Lu, and N. M. B. J. Z. Zhang, 'Computerized Tongue Analysis for Medical Diagnosis,' IEEE Trans. Comput. Biol. Bioinform., vol. 14, no. 5, pp. 1120–1132, 2017.</w:t>
      </w:r>
    </w:p>
    <w:p>
      <w:pPr>
        <w:spacing w:before="0" w:after="40" w:line="252" w:lineRule="auto"/>
        <w:jc w:val="both"/>
      </w:pPr>
      <w:r>
        <w:rPr>
          <w:rFonts w:ascii="Times New Roman" w:hAnsi="Times New Roman"/>
          <w:sz w:val="16"/>
        </w:rPr>
        <w:t>[3] R. C. Gonzalez and R. E. Woods, Digital Image Processing, 4th ed. New York, NY, USA: Pearson, 2018.</w:t>
      </w:r>
    </w:p>
    <w:p>
      <w:pPr>
        <w:spacing w:before="0" w:after="40" w:line="252" w:lineRule="auto"/>
        <w:jc w:val="both"/>
      </w:pPr>
      <w:r>
        <w:rPr>
          <w:rFonts w:ascii="Times New Roman" w:hAnsi="Times New Roman"/>
          <w:sz w:val="16"/>
        </w:rPr>
        <w:t>[4] M. J. Flynn, Computer Architecture: Pipelined and Parallel Processor Design. Boston, MA, USA: Jones and Bartlett, 1995.</w:t>
      </w:r>
    </w:p>
    <w:p>
      <w:pPr>
        <w:spacing w:before="0" w:after="40" w:line="252" w:lineRule="auto"/>
        <w:jc w:val="both"/>
      </w:pPr>
      <w:r>
        <w:rPr>
          <w:rFonts w:ascii="Times New Roman" w:hAnsi="Times New Roman"/>
          <w:sz w:val="16"/>
        </w:rPr>
        <w:t>[5] J. Nickolls and W. J. Dally, 'The GPU computing era,' IEEE Micro, vol. 30, no. 2, pp. 56–69, 2010.</w:t>
      </w:r>
    </w:p>
    <w:p>
      <w:pPr>
        <w:spacing w:before="0" w:after="40" w:line="252" w:lineRule="auto"/>
        <w:jc w:val="both"/>
      </w:pPr>
      <w:r>
        <w:rPr>
          <w:rFonts w:ascii="Times New Roman" w:hAnsi="Times New Roman"/>
          <w:sz w:val="16"/>
        </w:rPr>
        <w:t>[6] D. B. Kirk and W.-M. W. Hwu, Programming Massively Parallel Processors: A Hands-on Approach, 4th ed. Cambridge, MA, USA: Morgan Kaufmann, 2022.</w:t>
      </w:r>
    </w:p>
    <w:p>
      <w:pPr>
        <w:spacing w:before="0" w:after="40" w:line="252" w:lineRule="auto"/>
        <w:jc w:val="both"/>
      </w:pPr>
      <w:r>
        <w:rPr>
          <w:rFonts w:ascii="Times New Roman" w:hAnsi="Times New Roman"/>
          <w:sz w:val="16"/>
        </w:rPr>
        <w:t>[7] NVIDIA Corporation, CUDA C++ Programming Guide, Version 12.8, Santa Clara, CA, USA, 2025. [Online]. Available: https://docs.nvidia.com/cuda/cuda-c-programming-guide/</w:t>
      </w:r>
    </w:p>
    <w:p>
      <w:pPr>
        <w:spacing w:before="0" w:after="40" w:line="252" w:lineRule="auto"/>
        <w:jc w:val="both"/>
      </w:pPr>
      <w:r>
        <w:rPr>
          <w:rFonts w:ascii="Times New Roman" w:hAnsi="Times New Roman"/>
          <w:sz w:val="16"/>
        </w:rPr>
        <w:t>[8] G. M. Amdahl, 'Validity of the single processor approach to achieving large scale computing capabilities,' in Proc. AFIPS Spring Joint Comput. Conf., 1967, pp. 483–485.</w:t>
      </w:r>
    </w:p>
    <w:p>
      <w:pPr>
        <w:spacing w:before="0" w:after="40" w:line="252" w:lineRule="auto"/>
        <w:jc w:val="both"/>
      </w:pPr>
      <w:r>
        <w:rPr>
          <w:rFonts w:ascii="Times New Roman" w:hAnsi="Times New Roman"/>
          <w:sz w:val="16"/>
        </w:rPr>
        <w:t>[9] V. Volkov, 'Better performance at lower occupancy,' in Proc. GPU Technol. Conf. (GTC), 2010, pp. 1–43.</w:t>
      </w:r>
    </w:p>
    <w:p>
      <w:pPr>
        <w:spacing w:before="0" w:after="40" w:line="252" w:lineRule="auto"/>
        <w:jc w:val="both"/>
      </w:pPr>
      <w:r>
        <w:rPr>
          <w:rFonts w:ascii="Times New Roman" w:hAnsi="Times New Roman"/>
          <w:sz w:val="16"/>
        </w:rPr>
        <w:t>[10] S. Che, M. Boyer, J. Meng, D. Tarjan, J. W. Sheaffer, and K. Skadron, 'A performance study of general-purpose applications on graphics processors using CUDA,' J. Parallel Distrib. Comput., vol. 68, no. 10, pp. 1370–1380, 2008.</w:t>
      </w:r>
    </w:p>
    <w:p>
      <w:pPr>
        <w:spacing w:before="0" w:after="40" w:line="252" w:lineRule="auto"/>
        <w:jc w:val="both"/>
      </w:pPr>
      <w:r>
        <w:rPr>
          <w:rFonts w:ascii="Times New Roman" w:hAnsi="Times New Roman"/>
          <w:sz w:val="16"/>
        </w:rPr>
        <w:t>[11] J. L. Hennessy and D. A. Patterson, Computer Architecture: A Quantitative Approach, 6th ed. Cambridge, MA, USA: Morgan Kaufmann, 2017.</w:t>
      </w:r>
    </w:p>
    <w:p>
      <w:pPr>
        <w:spacing w:before="0" w:after="40" w:line="252" w:lineRule="auto"/>
        <w:jc w:val="both"/>
      </w:pPr>
      <w:r>
        <w:rPr>
          <w:rFonts w:ascii="Times New Roman" w:hAnsi="Times New Roman"/>
          <w:sz w:val="16"/>
        </w:rPr>
        <w:t>[12] S. Williams, A. Waterman, and D. Patterson, 'Roofline: An insightful visual performance model for multicore architectures,' Commun. ACM, vol. 52, no. 4, pp. 65–76, 2009.</w:t>
      </w:r>
    </w:p>
    <w:p>
      <w:pPr>
        <w:spacing w:before="0" w:after="40" w:line="252" w:lineRule="auto"/>
        <w:jc w:val="both"/>
      </w:pPr>
      <w:r>
        <w:rPr>
          <w:rFonts w:ascii="Times New Roman" w:hAnsi="Times New Roman"/>
          <w:sz w:val="16"/>
        </w:rPr>
        <w:t>[13] G. Bradski, 'The OpenCV Library,' Dr. Dobb's Journal of Software Tools, 2000.</w:t>
      </w:r>
    </w:p>
    <w:p>
      <w:pPr>
        <w:spacing w:before="0" w:after="40" w:line="252" w:lineRule="auto"/>
        <w:jc w:val="both"/>
      </w:pPr>
      <w:r>
        <w:rPr>
          <w:rFonts w:ascii="Times New Roman" w:hAnsi="Times New Roman"/>
          <w:sz w:val="16"/>
        </w:rPr>
        <w:t>[14] M. Harris, 'Optimizing parallel reduction in CUDA,' NVIDIA Developer Technology, Whitepaper, 2007.</w:t>
      </w:r>
    </w:p>
    <w:p>
      <w:pPr>
        <w:spacing w:before="0" w:after="40" w:line="252" w:lineRule="auto"/>
        <w:jc w:val="both"/>
      </w:pPr>
      <w:r>
        <w:rPr>
          <w:rFonts w:ascii="Times New Roman" w:hAnsi="Times New Roman"/>
          <w:sz w:val="16"/>
        </w:rPr>
        <w:t>[15] P. Micikevicius, '3D finite difference computation on GPUs using CUDA,' in Proc. 2nd Workshop Gen. Purpose Process. Graph. Process. Units (GPGPU-2), 2009, pp. 79–84.</w:t>
      </w:r>
    </w:p>
    <w:p>
      <w:pPr>
        <w:spacing w:before="0" w:after="40" w:line="252" w:lineRule="auto"/>
        <w:jc w:val="both"/>
      </w:pPr>
      <w:r>
        <w:rPr>
          <w:rFonts w:ascii="Times New Roman" w:hAnsi="Times New Roman"/>
          <w:sz w:val="16"/>
        </w:rPr>
        <w:t>[16] B. Catanzaro, N. Sundaram, and K. Keutzer, 'Fast support vector machine training and classification on graphics processors,' in Proc. 25th Int. Conf. Mach. Learn. (ICML), 2008, pp. 104–111.</w:t>
      </w:r>
    </w:p>
    <w:p>
      <w:pPr>
        <w:spacing w:before="0" w:after="40" w:line="252" w:lineRule="auto"/>
        <w:jc w:val="both"/>
      </w:pPr>
      <w:r>
        <w:rPr>
          <w:rFonts w:ascii="Times New Roman" w:hAnsi="Times New Roman"/>
          <w:sz w:val="16"/>
        </w:rPr>
        <w:t>[17] NVIDIA Corporation, NVIDIA Ada Lovelace Architecture In-Depth, Whitepaper, 2023.</w:t>
      </w:r>
    </w:p>
    <w:p>
      <w:pPr>
        <w:spacing w:before="0" w:after="40" w:line="252" w:lineRule="auto"/>
        <w:jc w:val="both"/>
      </w:pPr>
      <w:r>
        <w:rPr>
          <w:rFonts w:ascii="Times New Roman" w:hAnsi="Times New Roman"/>
          <w:sz w:val="16"/>
        </w:rPr>
        <w:t>[18] M. Garland, S. Le Grand, J. Nickolls, J. Anderson, J. Hardwick, S. Morton, E. Phillips, Y. Zhang, and V. Volkov, 'Parallel computing experiences with CUDA,' IEEE Micro, vol. 28, no. 4, pp. 13–27, 2008.</w:t>
      </w:r>
    </w:p>
    <w:p>
      <w:pPr>
        <w:spacing w:before="0" w:after="40" w:line="252" w:lineRule="auto"/>
        <w:jc w:val="both"/>
      </w:pPr>
      <w:r>
        <w:rPr>
          <w:rFonts w:ascii="Times New Roman" w:hAnsi="Times New Roman"/>
          <w:sz w:val="16"/>
        </w:rPr>
        <w:t>[19] W. Mei, B. Schmidt, and W. Liu, 'GPU-accelerated image processing for real-time medical endoscopy,' Parallel Computing, vol. 72, pp. 45–59, 2018.</w:t>
      </w:r>
    </w:p>
    <w:p>
      <w:pPr>
        <w:spacing w:before="0" w:after="40" w:line="252" w:lineRule="auto"/>
        <w:jc w:val="both"/>
      </w:pPr>
      <w:r>
        <w:rPr>
          <w:rFonts w:ascii="Times New Roman" w:hAnsi="Times New Roman"/>
          <w:sz w:val="16"/>
        </w:rPr>
        <w:t>[20] A. Paszke et al., 'PyTorch: An imperative style, high-performance deep learning library,' in Adv. Neural Inf. Process. Syst. (NeurIPS), 2019, pp. 8024–8035.</w:t>
      </w:r>
    </w:p>
    <w:p>
      <w:pPr>
        <w:spacing w:before="0" w:after="40" w:line="252" w:lineRule="auto"/>
        <w:jc w:val="both"/>
      </w:pPr>
      <w:r>
        <w:rPr>
          <w:rFonts w:ascii="Times New Roman" w:hAnsi="Times New Roman"/>
          <w:sz w:val="16"/>
        </w:rPr>
        <w:t>[21] H. Wang, S. R. Agostinelli, and K. Mueller, 'High-performance medical image filtering using CUDA shared memory tiling,' in Proc. IEEE Nuclear Sci. Symp. Med. Imag. Conf., 2019, pp. 1–5.</w:t>
      </w:r>
    </w:p>
    <w:p>
      <w:pPr>
        <w:spacing w:before="0" w:after="40" w:line="252" w:lineRule="auto"/>
        <w:jc w:val="both"/>
      </w:pPr>
      <w:r>
        <w:rPr>
          <w:rFonts w:ascii="Times New Roman" w:hAnsi="Times New Roman"/>
          <w:sz w:val="16"/>
        </w:rPr>
        <w:t>[22] Y. Yang, R. Matsumura, and T. Sato, 'Latency-hiding techniques in multi-stream GPU architectures for medical image pipelines,' IEEE Access, vol. 9, pp. 134120–134132, 2021.</w:t>
      </w:r>
    </w:p>
    <w:sectPr w:rsidR="00FC693F" w:rsidRPr="0006063C" w:rsidSect="00034616">
      <w:type w:val="continuous"/>
      <w:pgSz w:w="12240" w:h="15840"/>
      <w:pgMar w:top="1080" w:right="1080" w:bottom="1080" w:left="1080" w:header="720" w:footer="720" w:gutter="0"/>
      <w:cols w:space="72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