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315F" w14:textId="77777777" w:rsidR="005525B8" w:rsidRDefault="005525B8" w:rsidP="005525B8">
      <w:pPr>
        <w:jc w:val="center"/>
        <w:rPr>
          <w:b/>
          <w:bCs/>
          <w:sz w:val="32"/>
          <w:szCs w:val="32"/>
          <w:u w:val="single"/>
        </w:rPr>
      </w:pPr>
      <w:r w:rsidRPr="005525B8">
        <w:rPr>
          <w:b/>
          <w:bCs/>
          <w:sz w:val="32"/>
          <w:szCs w:val="32"/>
          <w:u w:val="single"/>
        </w:rPr>
        <w:t>Business Performance Summary Report</w:t>
      </w:r>
    </w:p>
    <w:p w14:paraId="1B3B4A9C" w14:textId="1D8CD25E" w:rsidR="005525B8" w:rsidRPr="005525B8" w:rsidRDefault="005525B8" w:rsidP="005525B8">
      <w:pPr>
        <w:jc w:val="center"/>
        <w:rPr>
          <w:b/>
          <w:bCs/>
          <w:sz w:val="32"/>
          <w:szCs w:val="32"/>
          <w:u w:val="single"/>
        </w:rPr>
      </w:pPr>
      <w:r w:rsidRPr="005525B8">
        <w:br/>
      </w:r>
      <w:r w:rsidRPr="005525B8">
        <w:rPr>
          <w:b/>
          <w:bCs/>
        </w:rPr>
        <w:t>Subject:</w:t>
      </w:r>
      <w:r w:rsidRPr="005525B8">
        <w:t> Comprehensive Review of Sales, Profitability, and Strategic Growth Opportunities</w:t>
      </w:r>
    </w:p>
    <w:p w14:paraId="4CAA062F" w14:textId="77777777" w:rsidR="005525B8" w:rsidRPr="005525B8" w:rsidRDefault="005525B8" w:rsidP="005525B8">
      <w:r w:rsidRPr="005525B8">
        <w:pict w14:anchorId="244B720E">
          <v:rect id="_x0000_i1067" style="width:0;height:.75pt" o:hralign="center" o:hrstd="t" o:hr="t" fillcolor="#a0a0a0" stroked="f"/>
        </w:pict>
      </w:r>
    </w:p>
    <w:p w14:paraId="31BC05CD" w14:textId="77777777" w:rsidR="005525B8" w:rsidRPr="005525B8" w:rsidRDefault="005525B8" w:rsidP="005525B8">
      <w:pPr>
        <w:rPr>
          <w:b/>
          <w:bCs/>
        </w:rPr>
      </w:pPr>
      <w:r w:rsidRPr="005525B8">
        <w:rPr>
          <w:b/>
          <w:bCs/>
        </w:rPr>
        <w:t>1. Executive Overview</w:t>
      </w:r>
    </w:p>
    <w:p w14:paraId="15376351" w14:textId="77777777" w:rsidR="005525B8" w:rsidRPr="005525B8" w:rsidRDefault="005525B8" w:rsidP="005525B8">
      <w:r w:rsidRPr="005525B8">
        <w:t>The company generated a total revenue of </w:t>
      </w:r>
      <w:r w:rsidRPr="005525B8">
        <w:rPr>
          <w:b/>
          <w:bCs/>
        </w:rPr>
        <w:t>$2,297,201** during the reporting period, with an aggregate profit of **$286,397</w:t>
      </w:r>
      <w:r w:rsidRPr="005525B8">
        <w:t>, yielding an overall profit margin of </w:t>
      </w:r>
      <w:r w:rsidRPr="005525B8">
        <w:rPr>
          <w:b/>
          <w:bCs/>
        </w:rPr>
        <w:t>12.47%</w:t>
      </w:r>
      <w:r w:rsidRPr="005525B8">
        <w:t>. While top-line performance is healthy, a granular analysis reveals significant operational disparities across regions, product categories, and customer segments. The organization exhibits strong performance in the Western region and the Technology category; however, underperformance in the Eastern region and the Furniture category presents critical areas for immediate strategic intervention. Furthermore, an aggressive discounting strategy appears to be eroding profitability, particularly in low-margin accounts.</w:t>
      </w:r>
    </w:p>
    <w:p w14:paraId="08E9C5BD" w14:textId="77777777" w:rsidR="005525B8" w:rsidRPr="005525B8" w:rsidRDefault="005525B8" w:rsidP="005525B8">
      <w:r w:rsidRPr="005525B8">
        <w:pict w14:anchorId="7D634120">
          <v:rect id="_x0000_i1068" style="width:0;height:.75pt" o:hralign="center" o:hrstd="t" o:hr="t" fillcolor="#a0a0a0" stroked="f"/>
        </w:pict>
      </w:r>
    </w:p>
    <w:p w14:paraId="0B5396B1" w14:textId="77777777" w:rsidR="005525B8" w:rsidRPr="005525B8" w:rsidRDefault="005525B8" w:rsidP="005525B8">
      <w:pPr>
        <w:rPr>
          <w:b/>
          <w:bCs/>
        </w:rPr>
      </w:pPr>
      <w:r w:rsidRPr="005525B8">
        <w:rPr>
          <w:b/>
          <w:bCs/>
        </w:rPr>
        <w:t>2. Key Performance Indicators (KPIs)</w:t>
      </w:r>
    </w:p>
    <w:p w14:paraId="20C8AC2A" w14:textId="77777777" w:rsidR="005525B8" w:rsidRPr="005525B8" w:rsidRDefault="005525B8" w:rsidP="005525B8">
      <w:r w:rsidRPr="005525B8">
        <w:t>The following metrics provide a snapshot of the company’s financial health:</w:t>
      </w:r>
    </w:p>
    <w:tbl>
      <w:tblPr>
        <w:tblW w:w="10080" w:type="dxa"/>
        <w:tblCellMar>
          <w:top w:w="15" w:type="dxa"/>
          <w:left w:w="15" w:type="dxa"/>
          <w:bottom w:w="15" w:type="dxa"/>
          <w:right w:w="15" w:type="dxa"/>
        </w:tblCellMar>
        <w:tblLook w:val="04A0" w:firstRow="1" w:lastRow="0" w:firstColumn="1" w:lastColumn="0" w:noHBand="0" w:noVBand="1"/>
      </w:tblPr>
      <w:tblGrid>
        <w:gridCol w:w="5581"/>
        <w:gridCol w:w="4499"/>
      </w:tblGrid>
      <w:tr w:rsidR="005525B8" w:rsidRPr="005525B8" w14:paraId="177CBB10" w14:textId="77777777">
        <w:trPr>
          <w:tblHeader/>
        </w:trPr>
        <w:tc>
          <w:tcPr>
            <w:tcW w:w="0" w:type="auto"/>
            <w:tcBorders>
              <w:top w:val="nil"/>
            </w:tcBorders>
            <w:tcMar>
              <w:top w:w="150" w:type="dxa"/>
              <w:left w:w="0" w:type="dxa"/>
              <w:bottom w:w="150" w:type="dxa"/>
              <w:right w:w="240" w:type="dxa"/>
            </w:tcMar>
            <w:vAlign w:val="center"/>
            <w:hideMark/>
          </w:tcPr>
          <w:p w14:paraId="4D819303" w14:textId="77777777" w:rsidR="005525B8" w:rsidRPr="005525B8" w:rsidRDefault="005525B8" w:rsidP="005525B8">
            <w:r w:rsidRPr="005525B8">
              <w:t>Metric</w:t>
            </w:r>
          </w:p>
        </w:tc>
        <w:tc>
          <w:tcPr>
            <w:tcW w:w="0" w:type="auto"/>
            <w:tcBorders>
              <w:top w:val="nil"/>
            </w:tcBorders>
            <w:tcMar>
              <w:top w:w="150" w:type="dxa"/>
              <w:left w:w="240" w:type="dxa"/>
              <w:bottom w:w="150" w:type="dxa"/>
              <w:right w:w="240" w:type="dxa"/>
            </w:tcMar>
            <w:vAlign w:val="center"/>
            <w:hideMark/>
          </w:tcPr>
          <w:p w14:paraId="7EF1A610" w14:textId="77777777" w:rsidR="005525B8" w:rsidRPr="005525B8" w:rsidRDefault="005525B8" w:rsidP="005525B8">
            <w:r w:rsidRPr="005525B8">
              <w:t>Value</w:t>
            </w:r>
          </w:p>
        </w:tc>
      </w:tr>
      <w:tr w:rsidR="005525B8" w:rsidRPr="005525B8" w14:paraId="6BD7BCA0" w14:textId="77777777">
        <w:tc>
          <w:tcPr>
            <w:tcW w:w="0" w:type="auto"/>
            <w:tcMar>
              <w:top w:w="150" w:type="dxa"/>
              <w:left w:w="0" w:type="dxa"/>
              <w:bottom w:w="150" w:type="dxa"/>
              <w:right w:w="240" w:type="dxa"/>
            </w:tcMar>
            <w:vAlign w:val="center"/>
            <w:hideMark/>
          </w:tcPr>
          <w:p w14:paraId="2721030C" w14:textId="77777777" w:rsidR="005525B8" w:rsidRPr="005525B8" w:rsidRDefault="005525B8" w:rsidP="005525B8">
            <w:r w:rsidRPr="005525B8">
              <w:rPr>
                <w:b/>
                <w:bCs/>
              </w:rPr>
              <w:t>Total Sales</w:t>
            </w:r>
          </w:p>
        </w:tc>
        <w:tc>
          <w:tcPr>
            <w:tcW w:w="0" w:type="auto"/>
            <w:tcMar>
              <w:top w:w="150" w:type="dxa"/>
              <w:left w:w="240" w:type="dxa"/>
              <w:bottom w:w="150" w:type="dxa"/>
              <w:right w:w="0" w:type="dxa"/>
            </w:tcMar>
            <w:vAlign w:val="center"/>
            <w:hideMark/>
          </w:tcPr>
          <w:p w14:paraId="387E999C" w14:textId="77777777" w:rsidR="005525B8" w:rsidRPr="005525B8" w:rsidRDefault="005525B8" w:rsidP="005525B8">
            <w:r w:rsidRPr="005525B8">
              <w:t>$2,297,201</w:t>
            </w:r>
          </w:p>
        </w:tc>
      </w:tr>
      <w:tr w:rsidR="005525B8" w:rsidRPr="005525B8" w14:paraId="79626DCD" w14:textId="77777777">
        <w:tc>
          <w:tcPr>
            <w:tcW w:w="0" w:type="auto"/>
            <w:tcMar>
              <w:top w:w="150" w:type="dxa"/>
              <w:left w:w="0" w:type="dxa"/>
              <w:bottom w:w="150" w:type="dxa"/>
              <w:right w:w="240" w:type="dxa"/>
            </w:tcMar>
            <w:vAlign w:val="center"/>
            <w:hideMark/>
          </w:tcPr>
          <w:p w14:paraId="4E6C46DA" w14:textId="77777777" w:rsidR="005525B8" w:rsidRPr="005525B8" w:rsidRDefault="005525B8" w:rsidP="005525B8">
            <w:r w:rsidRPr="005525B8">
              <w:rPr>
                <w:b/>
                <w:bCs/>
              </w:rPr>
              <w:t>Total Profit (Core Categories)</w:t>
            </w:r>
          </w:p>
        </w:tc>
        <w:tc>
          <w:tcPr>
            <w:tcW w:w="0" w:type="auto"/>
            <w:tcMar>
              <w:top w:w="150" w:type="dxa"/>
              <w:left w:w="240" w:type="dxa"/>
              <w:bottom w:w="150" w:type="dxa"/>
              <w:right w:w="0" w:type="dxa"/>
            </w:tcMar>
            <w:vAlign w:val="center"/>
            <w:hideMark/>
          </w:tcPr>
          <w:p w14:paraId="2AE6F56F" w14:textId="77777777" w:rsidR="005525B8" w:rsidRPr="005525B8" w:rsidRDefault="005525B8" w:rsidP="005525B8">
            <w:r w:rsidRPr="005525B8">
              <w:t>$286,397</w:t>
            </w:r>
          </w:p>
        </w:tc>
      </w:tr>
      <w:tr w:rsidR="005525B8" w:rsidRPr="005525B8" w14:paraId="246723BA" w14:textId="77777777">
        <w:tc>
          <w:tcPr>
            <w:tcW w:w="0" w:type="auto"/>
            <w:tcMar>
              <w:top w:w="150" w:type="dxa"/>
              <w:left w:w="0" w:type="dxa"/>
              <w:bottom w:w="150" w:type="dxa"/>
              <w:right w:w="240" w:type="dxa"/>
            </w:tcMar>
            <w:vAlign w:val="center"/>
            <w:hideMark/>
          </w:tcPr>
          <w:p w14:paraId="501B4071" w14:textId="77777777" w:rsidR="005525B8" w:rsidRPr="005525B8" w:rsidRDefault="005525B8" w:rsidP="005525B8">
            <w:r w:rsidRPr="005525B8">
              <w:rPr>
                <w:b/>
                <w:bCs/>
              </w:rPr>
              <w:t>Overall Profit Margin</w:t>
            </w:r>
          </w:p>
        </w:tc>
        <w:tc>
          <w:tcPr>
            <w:tcW w:w="0" w:type="auto"/>
            <w:tcMar>
              <w:top w:w="150" w:type="dxa"/>
              <w:left w:w="240" w:type="dxa"/>
              <w:bottom w:w="150" w:type="dxa"/>
              <w:right w:w="0" w:type="dxa"/>
            </w:tcMar>
            <w:vAlign w:val="center"/>
            <w:hideMark/>
          </w:tcPr>
          <w:p w14:paraId="40840957" w14:textId="77777777" w:rsidR="005525B8" w:rsidRPr="005525B8" w:rsidRDefault="005525B8" w:rsidP="005525B8">
            <w:r w:rsidRPr="005525B8">
              <w:t>12.47%</w:t>
            </w:r>
          </w:p>
        </w:tc>
      </w:tr>
      <w:tr w:rsidR="005525B8" w:rsidRPr="005525B8" w14:paraId="01F8590E" w14:textId="77777777">
        <w:tc>
          <w:tcPr>
            <w:tcW w:w="0" w:type="auto"/>
            <w:tcMar>
              <w:top w:w="150" w:type="dxa"/>
              <w:left w:w="0" w:type="dxa"/>
              <w:bottom w:w="150" w:type="dxa"/>
              <w:right w:w="240" w:type="dxa"/>
            </w:tcMar>
            <w:vAlign w:val="center"/>
            <w:hideMark/>
          </w:tcPr>
          <w:p w14:paraId="23D2573C" w14:textId="77777777" w:rsidR="005525B8" w:rsidRPr="005525B8" w:rsidRDefault="005525B8" w:rsidP="005525B8">
            <w:r w:rsidRPr="005525B8">
              <w:rPr>
                <w:b/>
                <w:bCs/>
              </w:rPr>
              <w:t>Top Customer (by Sales)</w:t>
            </w:r>
          </w:p>
        </w:tc>
        <w:tc>
          <w:tcPr>
            <w:tcW w:w="0" w:type="auto"/>
            <w:tcMar>
              <w:top w:w="150" w:type="dxa"/>
              <w:left w:w="240" w:type="dxa"/>
              <w:bottom w:w="150" w:type="dxa"/>
              <w:right w:w="0" w:type="dxa"/>
            </w:tcMar>
            <w:vAlign w:val="center"/>
            <w:hideMark/>
          </w:tcPr>
          <w:p w14:paraId="57696945" w14:textId="77777777" w:rsidR="005525B8" w:rsidRPr="005525B8" w:rsidRDefault="005525B8" w:rsidP="005525B8">
            <w:r w:rsidRPr="005525B8">
              <w:t>Tom Ashbrook ($19,052)</w:t>
            </w:r>
          </w:p>
        </w:tc>
      </w:tr>
      <w:tr w:rsidR="005525B8" w:rsidRPr="005525B8" w14:paraId="1BE168A7" w14:textId="77777777">
        <w:tc>
          <w:tcPr>
            <w:tcW w:w="0" w:type="auto"/>
            <w:tcMar>
              <w:top w:w="150" w:type="dxa"/>
              <w:left w:w="0" w:type="dxa"/>
              <w:bottom w:w="150" w:type="dxa"/>
              <w:right w:w="240" w:type="dxa"/>
            </w:tcMar>
            <w:vAlign w:val="center"/>
            <w:hideMark/>
          </w:tcPr>
          <w:p w14:paraId="2F7D3186" w14:textId="77777777" w:rsidR="005525B8" w:rsidRPr="005525B8" w:rsidRDefault="005525B8" w:rsidP="005525B8">
            <w:r w:rsidRPr="005525B8">
              <w:rPr>
                <w:b/>
                <w:bCs/>
              </w:rPr>
              <w:t>Top Customer (by Profit)</w:t>
            </w:r>
          </w:p>
        </w:tc>
        <w:tc>
          <w:tcPr>
            <w:tcW w:w="0" w:type="auto"/>
            <w:tcMar>
              <w:top w:w="150" w:type="dxa"/>
              <w:left w:w="240" w:type="dxa"/>
              <w:bottom w:w="150" w:type="dxa"/>
              <w:right w:w="0" w:type="dxa"/>
            </w:tcMar>
            <w:vAlign w:val="center"/>
            <w:hideMark/>
          </w:tcPr>
          <w:p w14:paraId="70E1A770" w14:textId="77777777" w:rsidR="005525B8" w:rsidRPr="005525B8" w:rsidRDefault="005525B8" w:rsidP="005525B8">
            <w:r w:rsidRPr="005525B8">
              <w:t>Tom Ashbrook ($8,981)</w:t>
            </w:r>
          </w:p>
        </w:tc>
      </w:tr>
      <w:tr w:rsidR="005525B8" w:rsidRPr="005525B8" w14:paraId="389A0A88" w14:textId="77777777">
        <w:tc>
          <w:tcPr>
            <w:tcW w:w="0" w:type="auto"/>
            <w:tcMar>
              <w:top w:w="150" w:type="dxa"/>
              <w:left w:w="0" w:type="dxa"/>
              <w:bottom w:w="150" w:type="dxa"/>
              <w:right w:w="240" w:type="dxa"/>
            </w:tcMar>
            <w:vAlign w:val="center"/>
            <w:hideMark/>
          </w:tcPr>
          <w:p w14:paraId="317896FA" w14:textId="77777777" w:rsidR="005525B8" w:rsidRPr="005525B8" w:rsidRDefault="005525B8" w:rsidP="005525B8">
            <w:r w:rsidRPr="005525B8">
              <w:rPr>
                <w:b/>
                <w:bCs/>
              </w:rPr>
              <w:t>Top Performing Region (Sales)</w:t>
            </w:r>
          </w:p>
        </w:tc>
        <w:tc>
          <w:tcPr>
            <w:tcW w:w="0" w:type="auto"/>
            <w:tcMar>
              <w:top w:w="150" w:type="dxa"/>
              <w:left w:w="240" w:type="dxa"/>
              <w:bottom w:w="150" w:type="dxa"/>
              <w:right w:w="0" w:type="dxa"/>
            </w:tcMar>
            <w:vAlign w:val="center"/>
            <w:hideMark/>
          </w:tcPr>
          <w:p w14:paraId="7A44B328" w14:textId="77777777" w:rsidR="005525B8" w:rsidRPr="005525B8" w:rsidRDefault="005525B8" w:rsidP="005525B8">
            <w:r w:rsidRPr="005525B8">
              <w:t>West ($725,458)</w:t>
            </w:r>
          </w:p>
        </w:tc>
      </w:tr>
      <w:tr w:rsidR="005525B8" w:rsidRPr="005525B8" w14:paraId="10F8AF25" w14:textId="77777777">
        <w:tc>
          <w:tcPr>
            <w:tcW w:w="0" w:type="auto"/>
            <w:tcMar>
              <w:top w:w="150" w:type="dxa"/>
              <w:left w:w="0" w:type="dxa"/>
              <w:bottom w:w="150" w:type="dxa"/>
              <w:right w:w="240" w:type="dxa"/>
            </w:tcMar>
            <w:vAlign w:val="center"/>
            <w:hideMark/>
          </w:tcPr>
          <w:p w14:paraId="0892C6C5" w14:textId="77777777" w:rsidR="005525B8" w:rsidRPr="005525B8" w:rsidRDefault="005525B8" w:rsidP="005525B8">
            <w:r w:rsidRPr="005525B8">
              <w:rPr>
                <w:b/>
                <w:bCs/>
              </w:rPr>
              <w:t>Top Performing Region (Profit)</w:t>
            </w:r>
          </w:p>
        </w:tc>
        <w:tc>
          <w:tcPr>
            <w:tcW w:w="0" w:type="auto"/>
            <w:tcMar>
              <w:top w:w="150" w:type="dxa"/>
              <w:left w:w="240" w:type="dxa"/>
              <w:bottom w:w="150" w:type="dxa"/>
              <w:right w:w="0" w:type="dxa"/>
            </w:tcMar>
            <w:vAlign w:val="center"/>
            <w:hideMark/>
          </w:tcPr>
          <w:p w14:paraId="01E0325C" w14:textId="77777777" w:rsidR="005525B8" w:rsidRPr="005525B8" w:rsidRDefault="005525B8" w:rsidP="005525B8">
            <w:r w:rsidRPr="005525B8">
              <w:t>West ($115,005)</w:t>
            </w:r>
          </w:p>
        </w:tc>
      </w:tr>
    </w:tbl>
    <w:p w14:paraId="2F63C901" w14:textId="77777777" w:rsidR="005525B8" w:rsidRPr="005525B8" w:rsidRDefault="005525B8" w:rsidP="005525B8">
      <w:r w:rsidRPr="005525B8">
        <w:t>The disparity between the top sales generator and the top profit generator (Tom Ashbrook ranks first in both) indicates that the company's most valuable accounts are also its most reliable. However, the data suggests that a significant portion of the customer base is generating minimal or negative returns.</w:t>
      </w:r>
    </w:p>
    <w:p w14:paraId="2222FC70" w14:textId="77777777" w:rsidR="005525B8" w:rsidRPr="005525B8" w:rsidRDefault="005525B8" w:rsidP="005525B8">
      <w:r w:rsidRPr="005525B8">
        <w:pict w14:anchorId="63C668C0">
          <v:rect id="_x0000_i1069" style="width:0;height:.75pt" o:hralign="center" o:hrstd="t" o:hr="t" fillcolor="#a0a0a0" stroked="f"/>
        </w:pict>
      </w:r>
    </w:p>
    <w:p w14:paraId="333B1CB2" w14:textId="77777777" w:rsidR="005525B8" w:rsidRPr="005525B8" w:rsidRDefault="005525B8" w:rsidP="005525B8">
      <w:pPr>
        <w:rPr>
          <w:b/>
          <w:bCs/>
        </w:rPr>
      </w:pPr>
      <w:r w:rsidRPr="005525B8">
        <w:rPr>
          <w:b/>
          <w:bCs/>
        </w:rPr>
        <w:lastRenderedPageBreak/>
        <w:t>3. Regional Performance Analysis</w:t>
      </w:r>
    </w:p>
    <w:p w14:paraId="7DC8A17E" w14:textId="77777777" w:rsidR="005525B8" w:rsidRPr="005525B8" w:rsidRDefault="005525B8" w:rsidP="005525B8">
      <w:r w:rsidRPr="005525B8">
        <w:t>A geographic breakdown of performance reveals distinct operational efficiencies and challenges.</w:t>
      </w:r>
    </w:p>
    <w:p w14:paraId="14E84DE5" w14:textId="77777777" w:rsidR="005525B8" w:rsidRPr="005525B8" w:rsidRDefault="005525B8" w:rsidP="005525B8">
      <w:pPr>
        <w:numPr>
          <w:ilvl w:val="0"/>
          <w:numId w:val="1"/>
        </w:numPr>
      </w:pPr>
      <w:r w:rsidRPr="005525B8">
        <w:rPr>
          <w:b/>
          <w:bCs/>
        </w:rPr>
        <w:t>Revenue Leadership:</w:t>
      </w:r>
      <w:r w:rsidRPr="005525B8">
        <w:t> The </w:t>
      </w:r>
      <w:r w:rsidRPr="005525B8">
        <w:rPr>
          <w:b/>
          <w:bCs/>
        </w:rPr>
        <w:t>West</w:t>
      </w:r>
      <w:r w:rsidRPr="005525B8">
        <w:t> region leads in revenue generation with </w:t>
      </w:r>
      <w:r w:rsidRPr="005525B8">
        <w:rPr>
          <w:b/>
          <w:bCs/>
        </w:rPr>
        <w:t>$725,458**, followed closely by the **East** at **$678,781</w:t>
      </w:r>
      <w:r w:rsidRPr="005525B8">
        <w:t>. The </w:t>
      </w:r>
      <w:r w:rsidRPr="005525B8">
        <w:rPr>
          <w:b/>
          <w:bCs/>
        </w:rPr>
        <w:t>South</w:t>
      </w:r>
      <w:r w:rsidRPr="005525B8">
        <w:t> and </w:t>
      </w:r>
      <w:r w:rsidRPr="005525B8">
        <w:rPr>
          <w:b/>
          <w:bCs/>
        </w:rPr>
        <w:t>Central</w:t>
      </w:r>
      <w:r w:rsidRPr="005525B8">
        <w:t> regions lag significantly, contributing $391,722 and $500,640 respectively.</w:t>
      </w:r>
    </w:p>
    <w:p w14:paraId="2F010C0E" w14:textId="77777777" w:rsidR="005525B8" w:rsidRPr="005525B8" w:rsidRDefault="005525B8" w:rsidP="005525B8">
      <w:pPr>
        <w:numPr>
          <w:ilvl w:val="0"/>
          <w:numId w:val="1"/>
        </w:numPr>
      </w:pPr>
      <w:r w:rsidRPr="005525B8">
        <w:rPr>
          <w:b/>
          <w:bCs/>
        </w:rPr>
        <w:t>Profitability Disparity:</w:t>
      </w:r>
      <w:r w:rsidRPr="005525B8">
        <w:t> While the West is the top performer in revenue, it is also the undisputed leader in profitability, generating </w:t>
      </w:r>
      <w:r w:rsidRPr="005525B8">
        <w:rPr>
          <w:b/>
          <w:bCs/>
        </w:rPr>
        <w:t>$115,005** in profit from core categories. Critically, the **East** region, despite near-equivalent sales volume to the West, produces only **$30,462</w:t>
      </w:r>
      <w:r w:rsidRPr="005525B8">
        <w:t> in profit. This represents a </w:t>
      </w:r>
      <w:r w:rsidRPr="005525B8">
        <w:rPr>
          <w:b/>
          <w:bCs/>
        </w:rPr>
        <w:t>73.5%</w:t>
      </w:r>
      <w:r w:rsidRPr="005525B8">
        <w:t xml:space="preserve"> reduction in profitability relative to the West, </w:t>
      </w:r>
      <w:proofErr w:type="spellStart"/>
      <w:r w:rsidRPr="005525B8">
        <w:t>signaling</w:t>
      </w:r>
      <w:proofErr w:type="spellEnd"/>
      <w:r w:rsidRPr="005525B8">
        <w:t xml:space="preserve"> a severe structural issue in the Eastern market.</w:t>
      </w:r>
    </w:p>
    <w:p w14:paraId="563841F6" w14:textId="77777777" w:rsidR="005525B8" w:rsidRPr="005525B8" w:rsidRDefault="005525B8" w:rsidP="005525B8">
      <w:pPr>
        <w:numPr>
          <w:ilvl w:val="0"/>
          <w:numId w:val="1"/>
        </w:numPr>
      </w:pPr>
      <w:r w:rsidRPr="005525B8">
        <w:rPr>
          <w:b/>
          <w:bCs/>
        </w:rPr>
        <w:t>Profit Margin by Region:</w:t>
      </w:r>
    </w:p>
    <w:p w14:paraId="47476225" w14:textId="77777777" w:rsidR="005525B8" w:rsidRPr="005525B8" w:rsidRDefault="005525B8" w:rsidP="005525B8">
      <w:pPr>
        <w:numPr>
          <w:ilvl w:val="1"/>
          <w:numId w:val="1"/>
        </w:numPr>
      </w:pPr>
      <w:r w:rsidRPr="005525B8">
        <w:rPr>
          <w:b/>
          <w:bCs/>
        </w:rPr>
        <w:t>West:</w:t>
      </w:r>
      <w:r w:rsidRPr="005525B8">
        <w:t> 15.85% (Estimated)</w:t>
      </w:r>
    </w:p>
    <w:p w14:paraId="188CEEE0" w14:textId="77777777" w:rsidR="005525B8" w:rsidRPr="005525B8" w:rsidRDefault="005525B8" w:rsidP="005525B8">
      <w:pPr>
        <w:numPr>
          <w:ilvl w:val="1"/>
          <w:numId w:val="1"/>
        </w:numPr>
      </w:pPr>
      <w:r w:rsidRPr="005525B8">
        <w:rPr>
          <w:b/>
          <w:bCs/>
        </w:rPr>
        <w:t>South:</w:t>
      </w:r>
      <w:r w:rsidRPr="005525B8">
        <w:t> 10.44% (Estimated)</w:t>
      </w:r>
    </w:p>
    <w:p w14:paraId="71B4BB26" w14:textId="77777777" w:rsidR="005525B8" w:rsidRPr="005525B8" w:rsidRDefault="005525B8" w:rsidP="005525B8">
      <w:pPr>
        <w:numPr>
          <w:ilvl w:val="1"/>
          <w:numId w:val="1"/>
        </w:numPr>
      </w:pPr>
      <w:r w:rsidRPr="005525B8">
        <w:rPr>
          <w:b/>
          <w:bCs/>
        </w:rPr>
        <w:t>East:</w:t>
      </w:r>
      <w:r w:rsidRPr="005525B8">
        <w:t> 4.49% (Estimated)</w:t>
      </w:r>
    </w:p>
    <w:p w14:paraId="3D7C8E5A" w14:textId="4AC5DF74" w:rsidR="005525B8" w:rsidRPr="005525B8" w:rsidRDefault="005525B8" w:rsidP="005525B8">
      <w:r w:rsidRPr="005525B8">
        <w:rPr>
          <w:i/>
          <w:iCs/>
        </w:rPr>
        <w:t>Observation:</w:t>
      </w:r>
      <w:r w:rsidRPr="005525B8">
        <w:t> The East region is the primary area of concern. The combination of high sales volume and low profit suggests an unfavo</w:t>
      </w:r>
      <w:r>
        <w:t>u</w:t>
      </w:r>
      <w:r w:rsidRPr="005525B8">
        <w:t>rable mix of discounted products, elevated operational costs, or inefficient sales strategies.</w:t>
      </w:r>
    </w:p>
    <w:p w14:paraId="6E6DDBBF" w14:textId="77777777" w:rsidR="005525B8" w:rsidRPr="005525B8" w:rsidRDefault="005525B8" w:rsidP="005525B8">
      <w:r w:rsidRPr="005525B8">
        <w:pict w14:anchorId="4DAD7EF7">
          <v:rect id="_x0000_i1070" style="width:0;height:.75pt" o:hralign="center" o:hrstd="t" o:hr="t" fillcolor="#a0a0a0" stroked="f"/>
        </w:pict>
      </w:r>
    </w:p>
    <w:p w14:paraId="0794326A" w14:textId="77777777" w:rsidR="005525B8" w:rsidRPr="005525B8" w:rsidRDefault="005525B8" w:rsidP="005525B8">
      <w:pPr>
        <w:rPr>
          <w:b/>
          <w:bCs/>
        </w:rPr>
      </w:pPr>
      <w:r w:rsidRPr="005525B8">
        <w:rPr>
          <w:b/>
          <w:bCs/>
        </w:rPr>
        <w:t>4. Category Performance Analysis</w:t>
      </w:r>
    </w:p>
    <w:p w14:paraId="5B5EC215" w14:textId="77777777" w:rsidR="005525B8" w:rsidRPr="005525B8" w:rsidRDefault="005525B8" w:rsidP="005525B8">
      <w:r w:rsidRPr="005525B8">
        <w:t>An evaluation of product categories highlights the specific drivers of profit and loss.</w:t>
      </w:r>
    </w:p>
    <w:p w14:paraId="5D487499" w14:textId="77777777" w:rsidR="005525B8" w:rsidRPr="005525B8" w:rsidRDefault="005525B8" w:rsidP="005525B8">
      <w:pPr>
        <w:numPr>
          <w:ilvl w:val="0"/>
          <w:numId w:val="2"/>
        </w:numPr>
      </w:pPr>
      <w:r w:rsidRPr="005525B8">
        <w:rPr>
          <w:b/>
          <w:bCs/>
        </w:rPr>
        <w:t>Profit Drivers:</w:t>
      </w:r>
      <w:r w:rsidRPr="005525B8">
        <w:t> The </w:t>
      </w:r>
      <w:r w:rsidRPr="005525B8">
        <w:rPr>
          <w:b/>
          <w:bCs/>
        </w:rPr>
        <w:t>Technology</w:t>
      </w:r>
      <w:r w:rsidRPr="005525B8">
        <w:t> ($145,455) and **Office Supplies** ($122,491) categories are the financial engines of the business, collectively accounting for 93.5% of total core profit.</w:t>
      </w:r>
    </w:p>
    <w:p w14:paraId="3FADEAAC" w14:textId="77777777" w:rsidR="005525B8" w:rsidRPr="005525B8" w:rsidRDefault="005525B8" w:rsidP="005525B8">
      <w:pPr>
        <w:numPr>
          <w:ilvl w:val="0"/>
          <w:numId w:val="2"/>
        </w:numPr>
      </w:pPr>
      <w:r w:rsidRPr="005525B8">
        <w:rPr>
          <w:b/>
          <w:bCs/>
        </w:rPr>
        <w:t>Category Vulnerability:</w:t>
      </w:r>
      <w:r w:rsidRPr="005525B8">
        <w:t> The </w:t>
      </w:r>
      <w:r w:rsidRPr="005525B8">
        <w:rPr>
          <w:b/>
          <w:bCs/>
        </w:rPr>
        <w:t>Furniture</w:t>
      </w:r>
      <w:r w:rsidRPr="005525B8">
        <w:t> category is critically underperforming. Despite a likely significant sales volume, it generates only </w:t>
      </w:r>
      <w:r w:rsidRPr="005525B8">
        <w:rPr>
          <w:b/>
          <w:bCs/>
        </w:rPr>
        <w:t>$18,451</w:t>
      </w:r>
      <w:r w:rsidRPr="005525B8">
        <w:t> in profit, contributing a mere </w:t>
      </w:r>
      <w:r w:rsidRPr="005525B8">
        <w:rPr>
          <w:b/>
          <w:bCs/>
        </w:rPr>
        <w:t>6.5%</w:t>
      </w:r>
      <w:r w:rsidRPr="005525B8">
        <w:t> to the total profit pool.</w:t>
      </w:r>
    </w:p>
    <w:p w14:paraId="0E10A134" w14:textId="77777777" w:rsidR="005525B8" w:rsidRPr="005525B8" w:rsidRDefault="005525B8" w:rsidP="005525B8">
      <w:pPr>
        <w:numPr>
          <w:ilvl w:val="0"/>
          <w:numId w:val="2"/>
        </w:numPr>
      </w:pPr>
      <w:r w:rsidRPr="005525B8">
        <w:rPr>
          <w:b/>
          <w:bCs/>
        </w:rPr>
        <w:t>Category Profit Margin (Estimated):</w:t>
      </w:r>
    </w:p>
    <w:p w14:paraId="2F04FDC4" w14:textId="77777777" w:rsidR="005525B8" w:rsidRPr="005525B8" w:rsidRDefault="005525B8" w:rsidP="005525B8">
      <w:pPr>
        <w:numPr>
          <w:ilvl w:val="1"/>
          <w:numId w:val="2"/>
        </w:numPr>
      </w:pPr>
      <w:r w:rsidRPr="005525B8">
        <w:rPr>
          <w:b/>
          <w:bCs/>
        </w:rPr>
        <w:t>Office Supplies:</w:t>
      </w:r>
      <w:r w:rsidRPr="005525B8">
        <w:t> High (Leading)</w:t>
      </w:r>
    </w:p>
    <w:p w14:paraId="6D8812AE" w14:textId="77777777" w:rsidR="005525B8" w:rsidRPr="005525B8" w:rsidRDefault="005525B8" w:rsidP="005525B8">
      <w:pPr>
        <w:numPr>
          <w:ilvl w:val="1"/>
          <w:numId w:val="2"/>
        </w:numPr>
      </w:pPr>
      <w:r w:rsidRPr="005525B8">
        <w:rPr>
          <w:b/>
          <w:bCs/>
        </w:rPr>
        <w:t>Technology:</w:t>
      </w:r>
      <w:r w:rsidRPr="005525B8">
        <w:t> High (Leading)</w:t>
      </w:r>
    </w:p>
    <w:p w14:paraId="18418C2F" w14:textId="77777777" w:rsidR="005525B8" w:rsidRPr="005525B8" w:rsidRDefault="005525B8" w:rsidP="005525B8">
      <w:pPr>
        <w:numPr>
          <w:ilvl w:val="1"/>
          <w:numId w:val="2"/>
        </w:numPr>
      </w:pPr>
      <w:r w:rsidRPr="005525B8">
        <w:rPr>
          <w:b/>
          <w:bCs/>
        </w:rPr>
        <w:t>Furniture:</w:t>
      </w:r>
      <w:r w:rsidRPr="005525B8">
        <w:t> Very Low (Critical Concern)</w:t>
      </w:r>
    </w:p>
    <w:p w14:paraId="25AB9B00" w14:textId="77777777" w:rsidR="005525B8" w:rsidRPr="005525B8" w:rsidRDefault="005525B8" w:rsidP="005525B8">
      <w:r w:rsidRPr="005525B8">
        <w:rPr>
          <w:i/>
          <w:iCs/>
        </w:rPr>
        <w:t>Observation:</w:t>
      </w:r>
      <w:r w:rsidRPr="005525B8">
        <w:t> The Furniture category is a drag on overall business performance. Given its low profitability, the company should evaluate its product mix, supplier costs, and pricing strategies within this vertical.</w:t>
      </w:r>
    </w:p>
    <w:p w14:paraId="4366241E" w14:textId="77777777" w:rsidR="005525B8" w:rsidRPr="005525B8" w:rsidRDefault="005525B8" w:rsidP="005525B8">
      <w:r w:rsidRPr="005525B8">
        <w:pict w14:anchorId="13ECB52E">
          <v:rect id="_x0000_i1071" style="width:0;height:.75pt" o:hralign="center" o:hrstd="t" o:hr="t" fillcolor="#a0a0a0" stroked="f"/>
        </w:pict>
      </w:r>
    </w:p>
    <w:p w14:paraId="408479ED" w14:textId="77777777" w:rsidR="005525B8" w:rsidRPr="005525B8" w:rsidRDefault="005525B8" w:rsidP="005525B8">
      <w:pPr>
        <w:rPr>
          <w:b/>
          <w:bCs/>
        </w:rPr>
      </w:pPr>
      <w:r w:rsidRPr="005525B8">
        <w:rPr>
          <w:b/>
          <w:bCs/>
        </w:rPr>
        <w:t>5. Customer and Segment Analysis</w:t>
      </w:r>
    </w:p>
    <w:p w14:paraId="35464992" w14:textId="77777777" w:rsidR="005525B8" w:rsidRPr="005525B8" w:rsidRDefault="005525B8" w:rsidP="005525B8">
      <w:r w:rsidRPr="005525B8">
        <w:t>The customer base is divided into three distinct segments, each with unique contributions to revenue and profit.</w:t>
      </w:r>
    </w:p>
    <w:p w14:paraId="64814306" w14:textId="77777777" w:rsidR="005525B8" w:rsidRPr="005525B8" w:rsidRDefault="005525B8" w:rsidP="005525B8">
      <w:pPr>
        <w:numPr>
          <w:ilvl w:val="0"/>
          <w:numId w:val="3"/>
        </w:numPr>
      </w:pPr>
      <w:r w:rsidRPr="005525B8">
        <w:rPr>
          <w:b/>
          <w:bCs/>
        </w:rPr>
        <w:lastRenderedPageBreak/>
        <w:t>Consumer Segment:</w:t>
      </w:r>
      <w:r w:rsidRPr="005525B8">
        <w:t> This group constitutes the largest revenue source, accounting for </w:t>
      </w:r>
      <w:r w:rsidRPr="005525B8">
        <w:rPr>
          <w:b/>
          <w:bCs/>
        </w:rPr>
        <w:t>50.5%</w:t>
      </w:r>
      <w:r w:rsidRPr="005525B8">
        <w:t> of total sales ($1.16M). However, it is likely characterized by lower average order values and higher sensitivity to discounts.</w:t>
      </w:r>
    </w:p>
    <w:p w14:paraId="4DF526FA" w14:textId="77777777" w:rsidR="005525B8" w:rsidRPr="005525B8" w:rsidRDefault="005525B8" w:rsidP="005525B8">
      <w:pPr>
        <w:numPr>
          <w:ilvl w:val="0"/>
          <w:numId w:val="3"/>
        </w:numPr>
      </w:pPr>
      <w:r w:rsidRPr="005525B8">
        <w:rPr>
          <w:b/>
          <w:bCs/>
        </w:rPr>
        <w:t>Corporate and Home Office Segments:</w:t>
      </w:r>
      <w:r w:rsidRPr="005525B8">
        <w:t> These segments represent </w:t>
      </w:r>
      <w:r w:rsidRPr="005525B8">
        <w:rPr>
          <w:b/>
          <w:bCs/>
        </w:rPr>
        <w:t>30.7%</w:t>
      </w:r>
      <w:r w:rsidRPr="005525B8">
        <w:t> ($0.71M) and **18.7%** ($0.43M) of sales, respectively. They are the primary drivers of profit in the Office Supplies and Technology categories, indicating a higher lifetime value.</w:t>
      </w:r>
    </w:p>
    <w:p w14:paraId="50E530F1" w14:textId="77777777" w:rsidR="005525B8" w:rsidRPr="005525B8" w:rsidRDefault="005525B8" w:rsidP="005525B8">
      <w:pPr>
        <w:numPr>
          <w:ilvl w:val="0"/>
          <w:numId w:val="3"/>
        </w:numPr>
      </w:pPr>
      <w:r w:rsidRPr="005525B8">
        <w:rPr>
          <w:b/>
          <w:bCs/>
        </w:rPr>
        <w:t>Top Customer Concentration:</w:t>
      </w:r>
      <w:r w:rsidRPr="005525B8">
        <w:t> The top 10 customers generate $122,349 in revenue and $50,178 in profit. Tom Ashbrook alone contributes $19,052 in sales.</w:t>
      </w:r>
    </w:p>
    <w:p w14:paraId="03936B84" w14:textId="77777777" w:rsidR="005525B8" w:rsidRPr="005525B8" w:rsidRDefault="005525B8" w:rsidP="005525B8">
      <w:pPr>
        <w:numPr>
          <w:ilvl w:val="0"/>
          <w:numId w:val="3"/>
        </w:numPr>
      </w:pPr>
      <w:r w:rsidRPr="005525B8">
        <w:rPr>
          <w:b/>
          <w:bCs/>
        </w:rPr>
        <w:t>Customer Profitability Variability:</w:t>
      </w:r>
      <w:r w:rsidRPr="005525B8">
        <w:t xml:space="preserve"> A review of individual customer records reveals a wide disparity in profitability. While top-tier customers yield substantial returns, a significant number of accounts show profits near zero (e.g., Aaron </w:t>
      </w:r>
      <w:proofErr w:type="spellStart"/>
      <w:r w:rsidRPr="005525B8">
        <w:t>Smayling</w:t>
      </w:r>
      <w:proofErr w:type="spellEnd"/>
      <w:r w:rsidRPr="005525B8">
        <w:t xml:space="preserve"> at 0.63) or in the negative (e.g., -253.57). This suggests that the company is effectively subsidizing some of its customers.</w:t>
      </w:r>
    </w:p>
    <w:p w14:paraId="499051E3" w14:textId="77777777" w:rsidR="005525B8" w:rsidRPr="005525B8" w:rsidRDefault="005525B8" w:rsidP="005525B8">
      <w:r w:rsidRPr="005525B8">
        <w:rPr>
          <w:i/>
          <w:iCs/>
        </w:rPr>
        <w:t>Observation:</w:t>
      </w:r>
      <w:r w:rsidRPr="005525B8">
        <w:t> The business relies heavily on a relatively small group of high-value corporate customers for its profitability. A "mass-market" discount approach appears to be cannibalizing profits in the lower-tier consumer base.</w:t>
      </w:r>
    </w:p>
    <w:p w14:paraId="40A24E60" w14:textId="77777777" w:rsidR="005525B8" w:rsidRPr="005525B8" w:rsidRDefault="005525B8" w:rsidP="005525B8">
      <w:r w:rsidRPr="005525B8">
        <w:pict w14:anchorId="7AEF6B51">
          <v:rect id="_x0000_i1072" style="width:0;height:.75pt" o:hralign="center" o:hrstd="t" o:hr="t" fillcolor="#a0a0a0" stroked="f"/>
        </w:pict>
      </w:r>
    </w:p>
    <w:p w14:paraId="2DA59BB5" w14:textId="77777777" w:rsidR="005525B8" w:rsidRPr="005525B8" w:rsidRDefault="005525B8" w:rsidP="005525B8">
      <w:pPr>
        <w:rPr>
          <w:b/>
          <w:bCs/>
        </w:rPr>
      </w:pPr>
      <w:r w:rsidRPr="005525B8">
        <w:rPr>
          <w:b/>
          <w:bCs/>
        </w:rPr>
        <w:t>6. Operational Trends and Efficiency</w:t>
      </w:r>
    </w:p>
    <w:p w14:paraId="455338A2" w14:textId="77777777" w:rsidR="005525B8" w:rsidRPr="005525B8" w:rsidRDefault="005525B8" w:rsidP="005525B8">
      <w:pPr>
        <w:rPr>
          <w:b/>
          <w:bCs/>
        </w:rPr>
      </w:pPr>
      <w:r w:rsidRPr="005525B8">
        <w:rPr>
          <w:b/>
          <w:bCs/>
        </w:rPr>
        <w:t>6.1. Seasonal Sales Trends</w:t>
      </w:r>
    </w:p>
    <w:p w14:paraId="24B07C70" w14:textId="241A4C18" w:rsidR="005525B8" w:rsidRPr="005525B8" w:rsidRDefault="005525B8" w:rsidP="005525B8">
      <w:r w:rsidRPr="005525B8">
        <w:t>The sales data exhibits a clear and consistent seasonal pattern. Revenue is significantly depressed in the </w:t>
      </w:r>
      <w:r w:rsidRPr="005525B8">
        <w:rPr>
          <w:b/>
          <w:bCs/>
        </w:rPr>
        <w:t>first quarter (January–March)</w:t>
      </w:r>
      <w:r w:rsidRPr="005525B8">
        <w:t> and experiences a substantial surge in the </w:t>
      </w:r>
      <w:r w:rsidRPr="005525B8">
        <w:rPr>
          <w:b/>
          <w:bCs/>
        </w:rPr>
        <w:t>third and fourth quarters (September–December)</w:t>
      </w:r>
      <w:r w:rsidRPr="005525B8">
        <w:t>. This pattern holds true across both 2015 and 2016, indicating a reliable annual cycle. This trend is likely driven by end-of-year budget expenditures by corporate clients and the holiday season.</w:t>
      </w:r>
    </w:p>
    <w:p w14:paraId="21A2A982" w14:textId="77777777" w:rsidR="005525B8" w:rsidRPr="005525B8" w:rsidRDefault="005525B8" w:rsidP="005525B8">
      <w:pPr>
        <w:rPr>
          <w:b/>
          <w:bCs/>
        </w:rPr>
      </w:pPr>
      <w:r w:rsidRPr="005525B8">
        <w:rPr>
          <w:b/>
          <w:bCs/>
        </w:rPr>
        <w:t>6.2. The Discounting Effect on Profitability</w:t>
      </w:r>
    </w:p>
    <w:p w14:paraId="784DAB60" w14:textId="77777777" w:rsidR="005525B8" w:rsidRPr="005525B8" w:rsidRDefault="005525B8" w:rsidP="005525B8">
      <w:r w:rsidRPr="005525B8">
        <w:t>There is a strong correlation between aggressive discounting and reduced profitability.</w:t>
      </w:r>
    </w:p>
    <w:p w14:paraId="56B48932" w14:textId="77777777" w:rsidR="005525B8" w:rsidRPr="005525B8" w:rsidRDefault="005525B8" w:rsidP="005525B8">
      <w:pPr>
        <w:numPr>
          <w:ilvl w:val="0"/>
          <w:numId w:val="4"/>
        </w:numPr>
      </w:pPr>
      <w:r w:rsidRPr="005525B8">
        <w:rPr>
          <w:b/>
          <w:bCs/>
        </w:rPr>
        <w:t>Regional Evidence:</w:t>
      </w:r>
      <w:r w:rsidRPr="005525B8">
        <w:t> The Eastern region, which likely employs a higher discount rate to capture market share, generates disproportionately low profit.</w:t>
      </w:r>
    </w:p>
    <w:p w14:paraId="67001ECD" w14:textId="77777777" w:rsidR="005525B8" w:rsidRPr="005525B8" w:rsidRDefault="005525B8" w:rsidP="005525B8">
      <w:pPr>
        <w:numPr>
          <w:ilvl w:val="0"/>
          <w:numId w:val="4"/>
        </w:numPr>
      </w:pPr>
      <w:r w:rsidRPr="005525B8">
        <w:rPr>
          <w:b/>
          <w:bCs/>
        </w:rPr>
        <w:t>Category Evidence:</w:t>
      </w:r>
      <w:r w:rsidRPr="005525B8">
        <w:t> The Furniture category, often subject to "price wars," has the lowest profit margin despite its sales volume.</w:t>
      </w:r>
    </w:p>
    <w:p w14:paraId="0AAA7DEF" w14:textId="77777777" w:rsidR="005525B8" w:rsidRPr="005525B8" w:rsidRDefault="005525B8" w:rsidP="005525B8">
      <w:pPr>
        <w:numPr>
          <w:ilvl w:val="0"/>
          <w:numId w:val="4"/>
        </w:numPr>
      </w:pPr>
      <w:r w:rsidRPr="005525B8">
        <w:rPr>
          <w:b/>
          <w:bCs/>
        </w:rPr>
        <w:t>Customer Evidence:</w:t>
      </w:r>
      <w:r w:rsidRPr="005525B8">
        <w:t> The presence of numerous low-to-zero profit customer accounts is symptomatic of a "race to the bottom" regarding price.</w:t>
      </w:r>
    </w:p>
    <w:p w14:paraId="49ADFD09" w14:textId="77777777" w:rsidR="005525B8" w:rsidRPr="005525B8" w:rsidRDefault="005525B8" w:rsidP="005525B8">
      <w:r w:rsidRPr="005525B8">
        <w:t>The data strongly indicates that while discounts drive volume (evidenced by high sales in the East and Furniture), they are failing to generate sustainable returns.</w:t>
      </w:r>
    </w:p>
    <w:p w14:paraId="32D1197D" w14:textId="77777777" w:rsidR="005525B8" w:rsidRPr="005525B8" w:rsidRDefault="005525B8" w:rsidP="005525B8">
      <w:r w:rsidRPr="005525B8">
        <w:pict w14:anchorId="4DF4F8D0">
          <v:rect id="_x0000_i1073" style="width:0;height:.75pt" o:hralign="center" o:hrstd="t" o:hr="t" fillcolor="#a0a0a0" stroked="f"/>
        </w:pict>
      </w:r>
    </w:p>
    <w:p w14:paraId="1ACB945F" w14:textId="77777777" w:rsidR="005525B8" w:rsidRPr="005525B8" w:rsidRDefault="005525B8" w:rsidP="005525B8">
      <w:pPr>
        <w:rPr>
          <w:b/>
          <w:bCs/>
        </w:rPr>
      </w:pPr>
      <w:r w:rsidRPr="005525B8">
        <w:rPr>
          <w:b/>
          <w:bCs/>
        </w:rPr>
        <w:t>7. Strategic Recommendations</w:t>
      </w:r>
    </w:p>
    <w:p w14:paraId="0F07D0B0" w14:textId="77777777" w:rsidR="005525B8" w:rsidRPr="005525B8" w:rsidRDefault="005525B8" w:rsidP="005525B8">
      <w:r w:rsidRPr="005525B8">
        <w:t>Based on the diagnostic analysis above, the following recommendations are proposed to drive profitable growth and operational efficiency:</w:t>
      </w:r>
    </w:p>
    <w:p w14:paraId="39DDB10D" w14:textId="77777777" w:rsidR="005525B8" w:rsidRPr="005525B8" w:rsidRDefault="005525B8" w:rsidP="005525B8">
      <w:pPr>
        <w:rPr>
          <w:b/>
          <w:bCs/>
        </w:rPr>
      </w:pPr>
      <w:r w:rsidRPr="005525B8">
        <w:rPr>
          <w:b/>
          <w:bCs/>
        </w:rPr>
        <w:lastRenderedPageBreak/>
        <w:t>7.1. Restructure the Eastern Region</w:t>
      </w:r>
    </w:p>
    <w:p w14:paraId="08DE13A5" w14:textId="77777777" w:rsidR="005525B8" w:rsidRPr="005525B8" w:rsidRDefault="005525B8" w:rsidP="005525B8">
      <w:pPr>
        <w:numPr>
          <w:ilvl w:val="0"/>
          <w:numId w:val="5"/>
        </w:numPr>
      </w:pPr>
      <w:r w:rsidRPr="005525B8">
        <w:rPr>
          <w:b/>
          <w:bCs/>
        </w:rPr>
        <w:t>Action:</w:t>
      </w:r>
      <w:r w:rsidRPr="005525B8">
        <w:t> Commission a comprehensive audit of the Eastern region's operations. This should include a review of pricing strategies, shipping logistics, regional cost structures, and sales compensation.</w:t>
      </w:r>
    </w:p>
    <w:p w14:paraId="4AA46533" w14:textId="77777777" w:rsidR="005525B8" w:rsidRPr="005525B8" w:rsidRDefault="005525B8" w:rsidP="005525B8">
      <w:pPr>
        <w:numPr>
          <w:ilvl w:val="0"/>
          <w:numId w:val="5"/>
        </w:numPr>
      </w:pPr>
      <w:r w:rsidRPr="005525B8">
        <w:rPr>
          <w:b/>
          <w:bCs/>
        </w:rPr>
        <w:t>Goal:</w:t>
      </w:r>
      <w:r w:rsidRPr="005525B8">
        <w:t> Replicate the profitability model of the Western region. If the East cannot achieve a minimum acceptable profit margin, the company must consider scaling back aggressive discounting or re-evaluating the territory's sales strategy.</w:t>
      </w:r>
    </w:p>
    <w:p w14:paraId="1FCB4194" w14:textId="77777777" w:rsidR="005525B8" w:rsidRPr="005525B8" w:rsidRDefault="005525B8" w:rsidP="005525B8">
      <w:pPr>
        <w:rPr>
          <w:b/>
          <w:bCs/>
        </w:rPr>
      </w:pPr>
      <w:r w:rsidRPr="005525B8">
        <w:rPr>
          <w:b/>
          <w:bCs/>
        </w:rPr>
        <w:t>7.2. Optimize the Furniture Category</w:t>
      </w:r>
    </w:p>
    <w:p w14:paraId="539F7B65" w14:textId="77777777" w:rsidR="005525B8" w:rsidRPr="005525B8" w:rsidRDefault="005525B8" w:rsidP="005525B8">
      <w:pPr>
        <w:numPr>
          <w:ilvl w:val="0"/>
          <w:numId w:val="6"/>
        </w:numPr>
      </w:pPr>
      <w:r w:rsidRPr="005525B8">
        <w:rPr>
          <w:b/>
          <w:bCs/>
        </w:rPr>
        <w:t>Action:</w:t>
      </w:r>
      <w:r w:rsidRPr="005525B8">
        <w:t> Conduct a "SKU-level" profitability analysis on all furniture items. Identify items that are consistently sold at a loss or extremely low margin.</w:t>
      </w:r>
    </w:p>
    <w:p w14:paraId="284DA71D" w14:textId="77777777" w:rsidR="005525B8" w:rsidRPr="005525B8" w:rsidRDefault="005525B8" w:rsidP="005525B8">
      <w:pPr>
        <w:numPr>
          <w:ilvl w:val="0"/>
          <w:numId w:val="6"/>
        </w:numPr>
      </w:pPr>
      <w:r w:rsidRPr="005525B8">
        <w:rPr>
          <w:b/>
          <w:bCs/>
        </w:rPr>
        <w:t>Goal:</w:t>
      </w:r>
      <w:r w:rsidRPr="005525B8">
        <w:t> Remove or re-price non-performing items. Given that Technology and Office Supplies are naturally profitable, the company could consider bundling these with high-margin furniture to improve overall category performance.</w:t>
      </w:r>
    </w:p>
    <w:p w14:paraId="4610B9B5" w14:textId="77777777" w:rsidR="005525B8" w:rsidRPr="005525B8" w:rsidRDefault="005525B8" w:rsidP="005525B8">
      <w:pPr>
        <w:rPr>
          <w:b/>
          <w:bCs/>
        </w:rPr>
      </w:pPr>
      <w:r w:rsidRPr="005525B8">
        <w:rPr>
          <w:b/>
          <w:bCs/>
        </w:rPr>
        <w:t>7.3. Implement a Tiered Customer Pricing Strategy</w:t>
      </w:r>
    </w:p>
    <w:p w14:paraId="0AB13B1C" w14:textId="77777777" w:rsidR="005525B8" w:rsidRPr="005525B8" w:rsidRDefault="005525B8" w:rsidP="005525B8">
      <w:pPr>
        <w:numPr>
          <w:ilvl w:val="0"/>
          <w:numId w:val="7"/>
        </w:numPr>
      </w:pPr>
      <w:r w:rsidRPr="005525B8">
        <w:rPr>
          <w:b/>
          <w:bCs/>
        </w:rPr>
        <w:t>Action:</w:t>
      </w:r>
      <w:r w:rsidRPr="005525B8">
        <w:t> Transition away from a uniform discount policy. Develop a pricing model that rewards high-value, high-profit customers (Corporate and Home Office) while standardizing or reducing discounts for low-profit consumer transactions.</w:t>
      </w:r>
    </w:p>
    <w:p w14:paraId="4C35594B" w14:textId="77777777" w:rsidR="005525B8" w:rsidRPr="005525B8" w:rsidRDefault="005525B8" w:rsidP="005525B8">
      <w:pPr>
        <w:numPr>
          <w:ilvl w:val="0"/>
          <w:numId w:val="7"/>
        </w:numPr>
      </w:pPr>
      <w:r w:rsidRPr="005525B8">
        <w:rPr>
          <w:b/>
          <w:bCs/>
        </w:rPr>
        <w:t>Goal:</w:t>
      </w:r>
      <w:r w:rsidRPr="005525B8">
        <w:t> Protect the profit pool. Stop subsidizing low-value customers and focus on the "VIP" clients who drive the majority of profitability.</w:t>
      </w:r>
    </w:p>
    <w:p w14:paraId="35AF6DF6" w14:textId="77777777" w:rsidR="005525B8" w:rsidRPr="005525B8" w:rsidRDefault="005525B8" w:rsidP="005525B8">
      <w:pPr>
        <w:rPr>
          <w:b/>
          <w:bCs/>
        </w:rPr>
      </w:pPr>
      <w:r w:rsidRPr="005525B8">
        <w:rPr>
          <w:b/>
          <w:bCs/>
        </w:rPr>
        <w:t>7.4. Align Marketing with Seasonal Demand</w:t>
      </w:r>
    </w:p>
    <w:p w14:paraId="261A366F" w14:textId="77777777" w:rsidR="005525B8" w:rsidRPr="005525B8" w:rsidRDefault="005525B8" w:rsidP="005525B8">
      <w:pPr>
        <w:numPr>
          <w:ilvl w:val="0"/>
          <w:numId w:val="8"/>
        </w:numPr>
      </w:pPr>
      <w:r w:rsidRPr="005525B8">
        <w:rPr>
          <w:b/>
          <w:bCs/>
        </w:rPr>
        <w:t>Action:</w:t>
      </w:r>
      <w:r w:rsidRPr="005525B8">
        <w:t> Develop a "Seasonal Surge" marketing plan to capitalize on Q3 and Q4 demand.</w:t>
      </w:r>
    </w:p>
    <w:p w14:paraId="56A6FF6A" w14:textId="77777777" w:rsidR="005525B8" w:rsidRPr="005525B8" w:rsidRDefault="005525B8" w:rsidP="005525B8">
      <w:pPr>
        <w:numPr>
          <w:ilvl w:val="0"/>
          <w:numId w:val="8"/>
        </w:numPr>
      </w:pPr>
      <w:r w:rsidRPr="005525B8">
        <w:rPr>
          <w:b/>
          <w:bCs/>
        </w:rPr>
        <w:t>Goal:</w:t>
      </w:r>
      <w:r w:rsidRPr="005525B8">
        <w:t> Maximize revenue during peak months. Conversely, use the Q1 slump to run targeted promotions for specific business needs (e.g., new year planning) to smooth the annual revenue cycle.</w:t>
      </w:r>
    </w:p>
    <w:p w14:paraId="5FA15D19" w14:textId="77777777" w:rsidR="005525B8" w:rsidRPr="005525B8" w:rsidRDefault="005525B8" w:rsidP="005525B8">
      <w:pPr>
        <w:rPr>
          <w:b/>
          <w:bCs/>
        </w:rPr>
      </w:pPr>
      <w:r w:rsidRPr="005525B8">
        <w:rPr>
          <w:b/>
          <w:bCs/>
        </w:rPr>
        <w:t>7.5. Invest in Key Account Management</w:t>
      </w:r>
    </w:p>
    <w:p w14:paraId="4C7D6EE2" w14:textId="77777777" w:rsidR="005525B8" w:rsidRPr="005525B8" w:rsidRDefault="005525B8" w:rsidP="005525B8">
      <w:pPr>
        <w:numPr>
          <w:ilvl w:val="0"/>
          <w:numId w:val="9"/>
        </w:numPr>
      </w:pPr>
      <w:r w:rsidRPr="005525B8">
        <w:rPr>
          <w:b/>
          <w:bCs/>
        </w:rPr>
        <w:t>Action:</w:t>
      </w:r>
      <w:r w:rsidRPr="005525B8">
        <w:t> Formalize a Key Account Management (KAM) program for the top 10-15 customers.</w:t>
      </w:r>
    </w:p>
    <w:p w14:paraId="0313B609" w14:textId="77777777" w:rsidR="005525B8" w:rsidRPr="005525B8" w:rsidRDefault="005525B8" w:rsidP="005525B8">
      <w:pPr>
        <w:numPr>
          <w:ilvl w:val="0"/>
          <w:numId w:val="9"/>
        </w:numPr>
      </w:pPr>
      <w:r w:rsidRPr="005525B8">
        <w:rPr>
          <w:b/>
          <w:bCs/>
        </w:rPr>
        <w:t>Goal:</w:t>
      </w:r>
      <w:r w:rsidRPr="005525B8">
        <w:t> Retain and grow the most profitable relationships. Given that customers like Tom Ashbrook are the lifeblood of the business, personalized service and exclusive offers should be prioritized.</w:t>
      </w:r>
    </w:p>
    <w:p w14:paraId="40C2E441" w14:textId="77777777" w:rsidR="007642A8" w:rsidRDefault="007642A8"/>
    <w:sectPr w:rsidR="00764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445"/>
    <w:multiLevelType w:val="multilevel"/>
    <w:tmpl w:val="658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43A7"/>
    <w:multiLevelType w:val="multilevel"/>
    <w:tmpl w:val="283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1B9D"/>
    <w:multiLevelType w:val="multilevel"/>
    <w:tmpl w:val="2F2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066C7"/>
    <w:multiLevelType w:val="multilevel"/>
    <w:tmpl w:val="6EE6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B151C"/>
    <w:multiLevelType w:val="multilevel"/>
    <w:tmpl w:val="EADE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4046F"/>
    <w:multiLevelType w:val="multilevel"/>
    <w:tmpl w:val="699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92A03"/>
    <w:multiLevelType w:val="multilevel"/>
    <w:tmpl w:val="CC3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F7F2F"/>
    <w:multiLevelType w:val="multilevel"/>
    <w:tmpl w:val="0FE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14CC6"/>
    <w:multiLevelType w:val="multilevel"/>
    <w:tmpl w:val="1D9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06417">
    <w:abstractNumId w:val="3"/>
  </w:num>
  <w:num w:numId="2" w16cid:durableId="1936937422">
    <w:abstractNumId w:val="4"/>
  </w:num>
  <w:num w:numId="3" w16cid:durableId="373118908">
    <w:abstractNumId w:val="1"/>
  </w:num>
  <w:num w:numId="4" w16cid:durableId="1266496947">
    <w:abstractNumId w:val="8"/>
  </w:num>
  <w:num w:numId="5" w16cid:durableId="1495728197">
    <w:abstractNumId w:val="5"/>
  </w:num>
  <w:num w:numId="6" w16cid:durableId="1116486679">
    <w:abstractNumId w:val="0"/>
  </w:num>
  <w:num w:numId="7" w16cid:durableId="854727248">
    <w:abstractNumId w:val="7"/>
  </w:num>
  <w:num w:numId="8" w16cid:durableId="2104765328">
    <w:abstractNumId w:val="2"/>
  </w:num>
  <w:num w:numId="9" w16cid:durableId="1129208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B8"/>
    <w:rsid w:val="001B0B84"/>
    <w:rsid w:val="0045409B"/>
    <w:rsid w:val="005525B8"/>
    <w:rsid w:val="007642A8"/>
    <w:rsid w:val="00E37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E57A"/>
  <w15:chartTrackingRefBased/>
  <w15:docId w15:val="{BE37C4C9-C596-4E84-A028-978BFBF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B8"/>
    <w:rPr>
      <w:rFonts w:eastAsiaTheme="majorEastAsia" w:cstheme="majorBidi"/>
      <w:color w:val="272727" w:themeColor="text1" w:themeTint="D8"/>
    </w:rPr>
  </w:style>
  <w:style w:type="paragraph" w:styleId="Title">
    <w:name w:val="Title"/>
    <w:basedOn w:val="Normal"/>
    <w:next w:val="Normal"/>
    <w:link w:val="TitleChar"/>
    <w:uiPriority w:val="10"/>
    <w:qFormat/>
    <w:rsid w:val="0055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B8"/>
    <w:pPr>
      <w:spacing w:before="160"/>
      <w:jc w:val="center"/>
    </w:pPr>
    <w:rPr>
      <w:i/>
      <w:iCs/>
      <w:color w:val="404040" w:themeColor="text1" w:themeTint="BF"/>
    </w:rPr>
  </w:style>
  <w:style w:type="character" w:customStyle="1" w:styleId="QuoteChar">
    <w:name w:val="Quote Char"/>
    <w:basedOn w:val="DefaultParagraphFont"/>
    <w:link w:val="Quote"/>
    <w:uiPriority w:val="29"/>
    <w:rsid w:val="005525B8"/>
    <w:rPr>
      <w:i/>
      <w:iCs/>
      <w:color w:val="404040" w:themeColor="text1" w:themeTint="BF"/>
    </w:rPr>
  </w:style>
  <w:style w:type="paragraph" w:styleId="ListParagraph">
    <w:name w:val="List Paragraph"/>
    <w:basedOn w:val="Normal"/>
    <w:uiPriority w:val="34"/>
    <w:qFormat/>
    <w:rsid w:val="005525B8"/>
    <w:pPr>
      <w:ind w:left="720"/>
      <w:contextualSpacing/>
    </w:pPr>
  </w:style>
  <w:style w:type="character" w:styleId="IntenseEmphasis">
    <w:name w:val="Intense Emphasis"/>
    <w:basedOn w:val="DefaultParagraphFont"/>
    <w:uiPriority w:val="21"/>
    <w:qFormat/>
    <w:rsid w:val="005525B8"/>
    <w:rPr>
      <w:i/>
      <w:iCs/>
      <w:color w:val="2F5496" w:themeColor="accent1" w:themeShade="BF"/>
    </w:rPr>
  </w:style>
  <w:style w:type="paragraph" w:styleId="IntenseQuote">
    <w:name w:val="Intense Quote"/>
    <w:basedOn w:val="Normal"/>
    <w:next w:val="Normal"/>
    <w:link w:val="IntenseQuoteChar"/>
    <w:uiPriority w:val="30"/>
    <w:qFormat/>
    <w:rsid w:val="00552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5B8"/>
    <w:rPr>
      <w:i/>
      <w:iCs/>
      <w:color w:val="2F5496" w:themeColor="accent1" w:themeShade="BF"/>
    </w:rPr>
  </w:style>
  <w:style w:type="character" w:styleId="IntenseReference">
    <w:name w:val="Intense Reference"/>
    <w:basedOn w:val="DefaultParagraphFont"/>
    <w:uiPriority w:val="32"/>
    <w:qFormat/>
    <w:rsid w:val="005525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ASHWIKA KUMARI</dc:creator>
  <cp:keywords/>
  <dc:description/>
  <cp:lastModifiedBy>ASHWIKA KUMARI</cp:lastModifiedBy>
  <cp:revision>2</cp:revision>
  <dcterms:created xsi:type="dcterms:W3CDTF">2026-06-30T20:46:00Z</dcterms:created>
  <dcterms:modified xsi:type="dcterms:W3CDTF">2026-06-30T20:46:00Z</dcterms:modified>
</cp:coreProperties>
</file>