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 Memo: Explainable Customer Prioritization</w:t>
      </w:r>
    </w:p>
    <w:p>
      <w:r>
        <w:rPr>
          <w:b/>
        </w:rPr>
        <w:t xml:space="preserve">Objective: </w:t>
      </w:r>
      <w:r>
        <w:t>Move from descriptive analytics to an explainable prioritization model that identifies customers who should receive retention attention first.</w:t>
      </w:r>
    </w:p>
    <w:p>
      <w:pPr>
        <w:pStyle w:val="Heading1"/>
      </w:pPr>
      <w:r>
        <w:t>Executive Recommendation</w:t>
      </w:r>
    </w:p>
    <w:p>
      <w:r>
        <w:t>Use the rule-based churn-risk score as a transparent first-pass prioritization tool. Customers are ranked from 0 to 100 using contract type, tenure, support activity, monthly charges, and payment method. High-risk customers should receive proactive retention attention, while medium-risk customers should receive targeted engagement and low-risk customers can remain in routine loyalty programs.</w:t>
      </w:r>
    </w:p>
    <w:p>
      <w:pPr>
        <w:pStyle w:val="Heading1"/>
      </w:pPr>
      <w:r>
        <w:t>Customer Segments</w:t>
      </w:r>
    </w:p>
    <w:p>
      <w:pPr>
        <w:pStyle w:val="ListBullet"/>
      </w:pPr>
      <w:r>
        <w:t>Developing Customer: 7 customers; average tenure 16.1 months; average monthly charges ₹67.13; actual churn rate 42.9%; average risk score 17.9.</w:t>
      </w:r>
    </w:p>
    <w:p>
      <w:pPr>
        <w:pStyle w:val="ListBullet"/>
      </w:pPr>
      <w:r>
        <w:t>Loyal Customer: 4 customers; average tenure 38.5 months; average monthly charges ₹149.99; actual churn rate 0.0%; average risk score 10.0.</w:t>
      </w:r>
    </w:p>
    <w:p>
      <w:pPr>
        <w:pStyle w:val="ListBullet"/>
      </w:pPr>
      <w:r>
        <w:t>New Customer: 4 customers; average tenure 3.8 months; average monthly charges ₹49.99; actual churn rate 100.0%; average risk score 87.5.</w:t>
      </w:r>
    </w:p>
    <w:p>
      <w:pPr>
        <w:pStyle w:val="Heading1"/>
      </w:pPr>
      <w:r>
        <w:t>Risk Scoring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Points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Month-to-Month contract</w:t>
            </w:r>
          </w:p>
        </w:tc>
        <w:tc>
          <w:tcPr>
            <w:tcW w:type="dxa" w:w="2880"/>
          </w:tcPr>
          <w:p>
            <w:r>
              <w:t>+30</w:t>
            </w:r>
          </w:p>
        </w:tc>
        <w:tc>
          <w:tcPr>
            <w:tcW w:type="dxa" w:w="2880"/>
          </w:tcPr>
          <w:p>
            <w:r>
              <w:t>Lower commitment</w:t>
            </w:r>
          </w:p>
        </w:tc>
      </w:tr>
      <w:tr>
        <w:tc>
          <w:tcPr>
            <w:tcW w:type="dxa" w:w="2880"/>
          </w:tcPr>
          <w:p>
            <w:r>
              <w:t>Tenure ≤ 6 months</w:t>
            </w:r>
          </w:p>
        </w:tc>
        <w:tc>
          <w:tcPr>
            <w:tcW w:type="dxa" w:w="2880"/>
          </w:tcPr>
          <w:p>
            <w:r>
              <w:t>+25</w:t>
            </w:r>
          </w:p>
        </w:tc>
        <w:tc>
          <w:tcPr>
            <w:tcW w:type="dxa" w:w="2880"/>
          </w:tcPr>
          <w:p>
            <w:r>
              <w:t>Early lifecycle risk</w:t>
            </w:r>
          </w:p>
        </w:tc>
      </w:tr>
      <w:tr>
        <w:tc>
          <w:tcPr>
            <w:tcW w:type="dxa" w:w="2880"/>
          </w:tcPr>
          <w:p>
            <w:r>
              <w:t>Support tickets ≥ 4</w:t>
            </w:r>
          </w:p>
        </w:tc>
        <w:tc>
          <w:tcPr>
            <w:tcW w:type="dxa" w:w="2880"/>
          </w:tcPr>
          <w:p>
            <w:r>
              <w:t>+25</w:t>
            </w:r>
          </w:p>
        </w:tc>
        <w:tc>
          <w:tcPr>
            <w:tcW w:type="dxa" w:w="2880"/>
          </w:tcPr>
          <w:p>
            <w:r>
              <w:t>Higher service friction</w:t>
            </w:r>
          </w:p>
        </w:tc>
      </w:tr>
      <w:tr>
        <w:tc>
          <w:tcPr>
            <w:tcW w:type="dxa" w:w="2880"/>
          </w:tcPr>
          <w:p>
            <w:r>
              <w:t>Monthly charges ≥ ₹80</w:t>
            </w:r>
          </w:p>
        </w:tc>
        <w:tc>
          <w:tcPr>
            <w:tcW w:type="dxa" w:w="2880"/>
          </w:tcPr>
          <w:p>
            <w:r>
              <w:t>+10</w:t>
            </w:r>
          </w:p>
        </w:tc>
        <w:tc>
          <w:tcPr>
            <w:tcW w:type="dxa" w:w="2880"/>
          </w:tcPr>
          <w:p>
            <w:r>
              <w:t>Higher-value account</w:t>
            </w:r>
          </w:p>
        </w:tc>
      </w:tr>
      <w:tr>
        <w:tc>
          <w:tcPr>
            <w:tcW w:type="dxa" w:w="2880"/>
          </w:tcPr>
          <w:p>
            <w:r>
              <w:t>UPI payment method</w:t>
            </w:r>
          </w:p>
        </w:tc>
        <w:tc>
          <w:tcPr>
            <w:tcW w:type="dxa" w:w="2880"/>
          </w:tcPr>
          <w:p>
            <w:r>
              <w:t>+10</w:t>
            </w:r>
          </w:p>
        </w:tc>
        <w:tc>
          <w:tcPr>
            <w:tcW w:type="dxa" w:w="2880"/>
          </w:tcPr>
          <w:p>
            <w:r>
              <w:t>Behavioral/account signal in this sample</w:t>
            </w:r>
          </w:p>
        </w:tc>
      </w:tr>
    </w:tbl>
    <w:p>
      <w:pPr>
        <w:pStyle w:val="Heading1"/>
      </w:pPr>
      <w:r>
        <w:t>Recommended Actions</w:t>
      </w:r>
    </w:p>
    <w:p>
      <w:pPr>
        <w:pStyle w:val="ListBullet"/>
      </w:pPr>
      <w:r>
        <w:t>High Risk (60–100): prioritize for proactive retention outreach, service recovery, and targeted contract/offer discussions.</w:t>
      </w:r>
    </w:p>
    <w:p>
      <w:pPr>
        <w:pStyle w:val="ListBullet"/>
      </w:pPr>
      <w:r>
        <w:t>Medium Risk (30–59): use targeted engagement, onboarding reinforcement, and support follow-up.</w:t>
      </w:r>
    </w:p>
    <w:p>
      <w:pPr>
        <w:pStyle w:val="ListBullet"/>
      </w:pPr>
      <w:r>
        <w:t>Low Risk (0–29): maintain normal service and loyalty/upsell communication rather than urgent retention intervention.</w:t>
      </w:r>
    </w:p>
    <w:p>
      <w:pPr>
        <w:pStyle w:val="Heading1"/>
      </w:pPr>
      <w:r>
        <w:t>Validation and Limitations</w:t>
      </w:r>
    </w:p>
    <w:p>
      <w:r>
        <w:t>The model is deterministic: the same customer attributes always produce the same score. Boundary tests confirm scores of 0 and 100 and validate the 29/30 and 59/60 risk-band cutoffs. Historical churn is used only for validation, not to calculate the score. The dataset is small, so the weights and thresholds should be treated as a transparent demonstration. Before production use, validate on a larger historical sample, test out-of-sample performance, review threshold choices with business stakeholders, and monitor whether interventions improve retention.</w:t>
      </w:r>
    </w:p>
    <w:p>
      <w:pPr>
        <w:pStyle w:val="Heading1"/>
      </w:pPr>
      <w:r>
        <w:t>Decision Summary</w:t>
      </w:r>
    </w:p>
    <w:p>
      <w:r>
        <w:t>The recommended workflow is: segment customers by lifecycle, score them using the transparent rules, rank high-risk customers first, and attach a clear reason to every recommendation. This converts descriptive customer analysis into an auditable retention-prioritization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