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8AA42">
      <w:pPr>
        <w:spacing w:before="600" w:after="80"/>
        <w:jc w:val="center"/>
      </w:pPr>
      <w:r>
        <w:rPr>
          <w:b/>
          <w:bCs/>
          <w:color w:val="1F3864"/>
          <w:sz w:val="44"/>
          <w:szCs w:val="44"/>
        </w:rPr>
        <w:t>Database Schema Documentation</w:t>
      </w:r>
    </w:p>
    <w:p w14:paraId="054BF1CE">
      <w:pPr>
        <w:spacing w:after="40"/>
        <w:jc w:val="center"/>
      </w:pPr>
      <w:r>
        <w:rPr>
          <w:i/>
          <w:iCs/>
          <w:color w:val="2E5C8A"/>
          <w:sz w:val="27"/>
          <w:szCs w:val="27"/>
        </w:rPr>
        <w:t>Indian Banned Medicines Data Pipeline</w:t>
      </w:r>
    </w:p>
    <w:p w14:paraId="3F30DB53">
      <w:pPr>
        <w:spacing w:after="400"/>
        <w:jc w:val="center"/>
      </w:pPr>
      <w:r>
        <w:rPr>
          <w:color w:val="8A8A8A"/>
          <w:sz w:val="19"/>
          <w:szCs w:val="19"/>
        </w:rPr>
        <w:t>PostgreSQL Schema Reference</w:t>
      </w:r>
    </w:p>
    <w:p w14:paraId="0C46D964">
      <w:pPr>
        <w:pBdr>
          <w:top w:val="single" w:color="B7C3D1" w:sz="6" w:space="10"/>
        </w:pBdr>
        <w:spacing w:after="500"/>
        <w:jc w:val="center"/>
      </w:pPr>
    </w:p>
    <w:p w14:paraId="00F86E53">
      <w:pPr>
        <w:pStyle w:val="2"/>
        <w:pBdr>
          <w:bottom w:val="single" w:color="1F3864" w:sz="6" w:space="4"/>
        </w:pBdr>
        <w:spacing w:before="480" w:after="200"/>
      </w:pPr>
      <w:bookmarkStart w:id="0" w:name="_GoBack"/>
      <w:bookmarkEnd w:id="0"/>
      <w:r>
        <w:rPr>
          <w:b/>
          <w:bCs/>
          <w:color w:val="1F3864"/>
        </w:rPr>
        <w:t>1. Architectural Introduction</w:t>
      </w:r>
    </w:p>
    <w:p w14:paraId="77440C8C">
      <w:pPr>
        <w:spacing w:after="200" w:line="300" w:lineRule="auto"/>
        <w:jc w:val="both"/>
      </w:pPr>
      <w:r>
        <w:rPr>
          <w:sz w:val="21"/>
          <w:szCs w:val="21"/>
        </w:rPr>
        <w:t>The database is structured to support a multi-layered public health dataset. The primary architectural goals include:</w:t>
      </w:r>
    </w:p>
    <w:p w14:paraId="123F965E">
      <w:pPr>
        <w:pStyle w:val="16"/>
        <w:numPr>
          <w:ilvl w:val="0"/>
          <w:numId w:val="1"/>
        </w:numPr>
        <w:spacing w:after="120" w:line="290" w:lineRule="auto"/>
      </w:pPr>
      <w:r>
        <w:rPr>
          <w:sz w:val="21"/>
          <w:szCs w:val="21"/>
        </w:rPr>
        <w:t>Decoupling Data Sources: Separating verified Central CDSCO bans (banned_medicines) from third-party roadmap compilations (unofficial_medicines) and traditional/supplement regulations (ayush_fssai_medicines).</w:t>
      </w:r>
    </w:p>
    <w:p w14:paraId="7081EC4E">
      <w:pPr>
        <w:pStyle w:val="16"/>
        <w:numPr>
          <w:ilvl w:val="0"/>
          <w:numId w:val="1"/>
        </w:numPr>
        <w:spacing w:after="120" w:line="290" w:lineRule="auto"/>
      </w:pPr>
      <w:r>
        <w:rPr>
          <w:sz w:val="21"/>
          <w:szCs w:val="21"/>
        </w:rPr>
        <w:t>Granular Ingredient Tracking: Storing raw generic names alongside normalized boolean flags and constituent ingredient arrays (is_fdc and ingredients) to enable chemical-level searches across complex combination products.</w:t>
      </w:r>
    </w:p>
    <w:p w14:paraId="72A018E9">
      <w:pPr>
        <w:pStyle w:val="16"/>
        <w:numPr>
          <w:ilvl w:val="0"/>
          <w:numId w:val="1"/>
        </w:numPr>
        <w:spacing w:after="120" w:line="290" w:lineRule="auto"/>
      </w:pPr>
      <w:r>
        <w:rPr>
          <w:sz w:val="21"/>
          <w:szCs w:val="21"/>
        </w:rPr>
        <w:t>Pipeline and Exception Auditing: Maintaining a direct operational link between file download tracking (source_documents), unique notification processing states (notifications_processed), and a manual exception triage system (manual_review_queue).</w:t>
      </w:r>
    </w:p>
    <w:p w14:paraId="2E6A19B1">
      <w:pPr>
        <w:pStyle w:val="2"/>
        <w:pBdr>
          <w:bottom w:val="single" w:color="1F3864" w:sz="6" w:space="4"/>
        </w:pBdr>
        <w:spacing w:before="480" w:after="200"/>
      </w:pPr>
      <w:r>
        <w:rPr>
          <w:b/>
          <w:bCs/>
          <w:color w:val="1F3864"/>
        </w:rPr>
        <w:t>2. Data Dictionary</w:t>
      </w:r>
    </w:p>
    <w:p w14:paraId="0E574E46">
      <w:pPr>
        <w:pStyle w:val="3"/>
        <w:spacing w:before="360" w:after="160"/>
      </w:pPr>
      <w:r>
        <w:rPr>
          <w:b/>
          <w:bCs/>
          <w:color w:val="2E5C8A"/>
        </w:rPr>
        <w:t>2.1. banned_medicines</w:t>
      </w:r>
    </w:p>
    <w:p w14:paraId="3DF5E7FF">
      <w:pPr>
        <w:spacing w:after="200" w:line="300" w:lineRule="auto"/>
        <w:jc w:val="both"/>
      </w:pPr>
      <w:r>
        <w:rPr>
          <w:sz w:val="21"/>
          <w:szCs w:val="21"/>
        </w:rPr>
        <w:t>Contains the verified, deduplicated list of banned drug formulations under the Central CDSCO regulatory authority.</w:t>
      </w:r>
    </w:p>
    <w:p w14:paraId="159CBB34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1400"/>
        <w:gridCol w:w="1624"/>
        <w:gridCol w:w="891"/>
        <w:gridCol w:w="3752"/>
      </w:tblGrid>
      <w:tr w14:paraId="5FFEF7A1">
        <w:trPr>
          <w:tblHeader/>
        </w:trPr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60D2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03F0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SQL Data Type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6E924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Indexes / Constraints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4EF5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67C5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208AD1E2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25AA9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E96D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INTEGER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94D6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Serial / Autoincrement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A6550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165C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 record identifier.</w:t>
            </w:r>
          </w:p>
        </w:tc>
      </w:tr>
      <w:tr w14:paraId="4766308B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8316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generic_name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4CBF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47B3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INDEX, 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2F55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F162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Standardized generic drug name or FDC title.</w:t>
            </w:r>
          </w:p>
        </w:tc>
      </w:tr>
      <w:tr w14:paraId="1E63769E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D8D97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brand_names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C1AF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TEXT[]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3C04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E79B8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{}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9223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Common commercial brand names associated with the ban.</w:t>
            </w:r>
          </w:p>
        </w:tc>
      </w:tr>
      <w:tr w14:paraId="328F094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F8EC0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dosage_form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0AB1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VARCHAR(100)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F2C1E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35FF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14F1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Canonical dosage form (e.g., Tablet, Syrup, Injection).</w:t>
            </w:r>
          </w:p>
        </w:tc>
      </w:tr>
      <w:tr w14:paraId="2C02C346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0146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strength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5112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5E615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3175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2789E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Formulation strength or concentration limits.</w:t>
            </w:r>
          </w:p>
        </w:tc>
      </w:tr>
      <w:tr w14:paraId="4B75A66B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15C8A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notification_number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463D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EE2A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7E7E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8CD7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Legal Gazette publication key (e.g., G.S.R. 578(E)).</w:t>
            </w:r>
          </w:p>
        </w:tc>
      </w:tr>
      <w:tr w14:paraId="0D9B40AC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65B08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notification_date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4E0A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DATE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9C0C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EFC9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DBA6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Publication date of the Gazette notification.</w:t>
            </w:r>
          </w:p>
        </w:tc>
      </w:tr>
      <w:tr w14:paraId="2FAACDA9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BB9C0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ban_reason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5BFD3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7759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1FE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2A74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Detailed legal or therapeutic justification for the ban.</w:t>
            </w:r>
          </w:p>
        </w:tc>
      </w:tr>
      <w:tr w14:paraId="658BF8BB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DEAA0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source_pdf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80C8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VARCHAR(255)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653F6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BD5D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6712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Target file name from which the ban was parsed.</w:t>
            </w:r>
          </w:p>
        </w:tc>
      </w:tr>
      <w:tr w14:paraId="11938C89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88E26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is_fdc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7B6B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BOOLEAN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8413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A1F1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FALSE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E0AB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Flag indicating if this is a Fixed Dose Combination.</w:t>
            </w:r>
          </w:p>
        </w:tc>
      </w:tr>
      <w:tr w14:paraId="1957D09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17D6F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ingredients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BE64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TEXT[]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90801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ABDD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{}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E82E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Array of split active chemical ingredients (for FDCs).</w:t>
            </w:r>
          </w:p>
        </w:tc>
      </w:tr>
      <w:tr w14:paraId="456C23B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1634B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source_url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E2FC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79FC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D586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3DAE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Original download link on the CDSCO portal.</w:t>
            </w:r>
          </w:p>
        </w:tc>
      </w:tr>
      <w:tr w14:paraId="4CAD6998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BD2E4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date_added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6B7D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864BF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C460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2AAB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when the entry was first created.</w:t>
            </w:r>
          </w:p>
        </w:tc>
      </w:tr>
      <w:tr w14:paraId="7ED3A52D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79A61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last_updated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C25F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BDDD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5785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B585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when the entry was last modified.</w:t>
            </w:r>
          </w:p>
        </w:tc>
      </w:tr>
    </w:tbl>
    <w:p w14:paraId="54452040">
      <w:pPr>
        <w:pBdr>
          <w:left w:val="single" w:color="2E5C8A" w:sz="18" w:space="8"/>
        </w:pBdr>
        <w:spacing w:before="160" w:after="240"/>
        <w:ind w:left="200"/>
      </w:pPr>
      <w:r>
        <w:rPr>
          <w:b/>
          <w:bCs/>
          <w:i/>
          <w:iCs/>
          <w:color w:val="2E5C8A"/>
          <w:sz w:val="20"/>
          <w:szCs w:val="20"/>
        </w:rPr>
        <w:t xml:space="preserve">Composite Constraint:  </w:t>
      </w:r>
      <w:r>
        <w:rPr>
          <w:i/>
          <w:iCs/>
          <w:color w:val="444444"/>
          <w:sz w:val="20"/>
          <w:szCs w:val="20"/>
        </w:rPr>
        <w:t>UniqueConstraint("generic_name", "dosage_form", "strength", "notification_number", name="uq_medicine_form_strength_notif") prevents duplicate tracking of identical bans while permitting historical amendment logging.</w:t>
      </w:r>
    </w:p>
    <w:p w14:paraId="633E9ACE">
      <w:pPr>
        <w:pStyle w:val="3"/>
        <w:spacing w:before="360" w:after="160"/>
      </w:pPr>
      <w:r>
        <w:rPr>
          <w:b/>
          <w:bCs/>
          <w:color w:val="2E5C8A"/>
        </w:rPr>
        <w:t>2.2. unofficial_medicines</w:t>
      </w:r>
    </w:p>
    <w:p w14:paraId="65B8684E">
      <w:pPr>
        <w:spacing w:after="200" w:line="300" w:lineRule="auto"/>
        <w:jc w:val="both"/>
      </w:pPr>
      <w:r>
        <w:rPr>
          <w:sz w:val="21"/>
          <w:szCs w:val="21"/>
        </w:rPr>
        <w:t>Stores aggregated banned drug records compiled from third-party compliance listings (Vaayath, TheHealthMaster) used as a discovery roadmap.</w:t>
      </w:r>
    </w:p>
    <w:p w14:paraId="34739146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1400"/>
        <w:gridCol w:w="1624"/>
        <w:gridCol w:w="891"/>
        <w:gridCol w:w="3752"/>
      </w:tblGrid>
      <w:tr w14:paraId="6D9441C0">
        <w:trPr>
          <w:tblHeader/>
        </w:trPr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22149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A450D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SQL Data Type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CA355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Indexes / Constraints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F533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B6A7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001FA7E7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3658B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12ED8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INTEGER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E9C1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Serial / Autoincrement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0820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47404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 record identifier.</w:t>
            </w:r>
          </w:p>
        </w:tc>
      </w:tr>
      <w:tr w14:paraId="1A22F7EC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2A4A7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generic_name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9376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4C47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INDEX, 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2CEC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78FC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Generic drug name as reported by the aggregator.</w:t>
            </w:r>
          </w:p>
        </w:tc>
      </w:tr>
      <w:tr w14:paraId="70207878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3A6F3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brand_names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A1060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TEXT[]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7C42C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9BC83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{}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C9B72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Associated brand names.</w:t>
            </w:r>
          </w:p>
        </w:tc>
      </w:tr>
      <w:tr w14:paraId="189283DB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F796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dosage_form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737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VARCHAR(100)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A73AE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5F61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0EE0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Reported dosage form.</w:t>
            </w:r>
          </w:p>
        </w:tc>
      </w:tr>
      <w:tr w14:paraId="2DED2329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D284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strength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5E55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3FBF8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70BA6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8595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Reported strength description.</w:t>
            </w:r>
          </w:p>
        </w:tc>
      </w:tr>
      <w:tr w14:paraId="71C07383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BC3AE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notification_number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6376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26B6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ACA4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44D9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Suggested notification identifier.</w:t>
            </w:r>
          </w:p>
        </w:tc>
      </w:tr>
      <w:tr w14:paraId="08AFA041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CC20C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notification_date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AA49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DATE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2695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A1F3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F2C3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Suggested date of publication.</w:t>
            </w:r>
          </w:p>
        </w:tc>
      </w:tr>
      <w:tr w14:paraId="521AD48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FA025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ban_reason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713B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1799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DEBAD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BE16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Stated reason for recall or ban.</w:t>
            </w:r>
          </w:p>
        </w:tc>
      </w:tr>
      <w:tr w14:paraId="6CD205F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96618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source_pdf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4A086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VARCHAR(255)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4E29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1376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EC5B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Identifier of the compiler (e.g. vaayath.com).</w:t>
            </w:r>
          </w:p>
        </w:tc>
      </w:tr>
      <w:tr w14:paraId="53E1791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3E922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date_added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21FA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CDD9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8622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9372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Record creation timestamp.</w:t>
            </w:r>
          </w:p>
        </w:tc>
      </w:tr>
      <w:tr w14:paraId="631D4355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47B43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last_updated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B96F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6284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5467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B03C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Record modification timestamp.</w:t>
            </w:r>
          </w:p>
        </w:tc>
      </w:tr>
    </w:tbl>
    <w:p w14:paraId="2BD5A890">
      <w:pPr>
        <w:pBdr>
          <w:left w:val="single" w:color="2E5C8A" w:sz="18" w:space="8"/>
        </w:pBdr>
        <w:spacing w:before="160" w:after="240"/>
        <w:ind w:left="200"/>
      </w:pPr>
      <w:r>
        <w:rPr>
          <w:b/>
          <w:bCs/>
          <w:i/>
          <w:iCs/>
          <w:color w:val="2E5C8A"/>
          <w:sz w:val="20"/>
          <w:szCs w:val="20"/>
        </w:rPr>
        <w:t xml:space="preserve">Composite Constraint:  </w:t>
      </w:r>
      <w:r>
        <w:rPr>
          <w:i/>
          <w:iCs/>
          <w:color w:val="444444"/>
          <w:sz w:val="20"/>
          <w:szCs w:val="20"/>
        </w:rPr>
        <w:t>UniqueConstraint("generic_name", "dosage_form", "strength", name="uq_unofficial_medicine_form_strength")</w:t>
      </w:r>
    </w:p>
    <w:p w14:paraId="7381898D">
      <w:pPr>
        <w:pStyle w:val="3"/>
        <w:spacing w:before="360" w:after="160"/>
      </w:pPr>
      <w:r>
        <w:rPr>
          <w:b/>
          <w:bCs/>
          <w:color w:val="2E5C8A"/>
        </w:rPr>
        <w:t>2.3. ayush_fssai_medicines</w:t>
      </w:r>
    </w:p>
    <w:p w14:paraId="2370DC5C">
      <w:pPr>
        <w:spacing w:after="200" w:line="300" w:lineRule="auto"/>
        <w:jc w:val="both"/>
      </w:pPr>
      <w:r>
        <w:rPr>
          <w:sz w:val="21"/>
          <w:szCs w:val="21"/>
        </w:rPr>
        <w:t>Stores traditional herbal safety notifications (Ministry of AYUSH) and prohibited supplement/additive ingredient listings (FSSAI).</w:t>
      </w:r>
    </w:p>
    <w:p w14:paraId="7AC4448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1400"/>
        <w:gridCol w:w="1624"/>
        <w:gridCol w:w="891"/>
        <w:gridCol w:w="3752"/>
      </w:tblGrid>
      <w:tr w14:paraId="4F392458">
        <w:trPr>
          <w:tblHeader/>
        </w:trPr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147B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BF4C8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SQL Data Type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0D54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Indexes / Constraints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D5D6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D7C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043A8778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8B9FC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8150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INTEGER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20F82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Serial / Autoincrement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D8168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3F11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 record identifier.</w:t>
            </w:r>
          </w:p>
        </w:tc>
      </w:tr>
      <w:tr w14:paraId="27349375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76284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generic_name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CDBB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35E2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INDEX, 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0BFC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9D4B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Prohibited ingredient, botanical, or formulation.</w:t>
            </w:r>
          </w:p>
        </w:tc>
      </w:tr>
      <w:tr w14:paraId="79E1C3A4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C3F19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brand_names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E852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TEXT[]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E4C4A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C961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{}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00EB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Associated commercial products (if any).</w:t>
            </w:r>
          </w:p>
        </w:tc>
      </w:tr>
      <w:tr w14:paraId="06FF7BB8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73575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dosage_form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5A95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VARCHAR(100)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64CAD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3863D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8FDA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Targeted delivery type.</w:t>
            </w:r>
          </w:p>
        </w:tc>
      </w:tr>
      <w:tr w14:paraId="6D98B99C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45C35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strength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0345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279DB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AC60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0DD6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Concentration limits.</w:t>
            </w:r>
          </w:p>
        </w:tc>
      </w:tr>
      <w:tr w14:paraId="27E54EB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9F68F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notification_number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54F8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63FE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1139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8AA7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Circular, order, or regulation reference.</w:t>
            </w:r>
          </w:p>
        </w:tc>
      </w:tr>
      <w:tr w14:paraId="7B2BCA09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683C0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notification_date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4460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DATE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18B4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9F298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35CB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Publication date of safety advisory.</w:t>
            </w:r>
          </w:p>
        </w:tc>
      </w:tr>
      <w:tr w14:paraId="5392396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5AD89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ban_reason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81F2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4FAA1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E95D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397D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Advisory context or toxicological rationale.</w:t>
            </w:r>
          </w:p>
        </w:tc>
      </w:tr>
      <w:tr w14:paraId="7FAC416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86FA9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source_pdf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6846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VARCHAR(255)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35EE0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8ABE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C54D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Originating regulatory domain (ayush.gov.in | fssai.gov.in).</w:t>
            </w:r>
          </w:p>
        </w:tc>
      </w:tr>
      <w:tr w14:paraId="168CD7DD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F8B04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date_added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61D96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3E46C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7AAA2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E653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Creation timestamp.</w:t>
            </w:r>
          </w:p>
        </w:tc>
      </w:tr>
      <w:tr w14:paraId="2B2B987B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956C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last_updated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1384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79AF5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924E0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F511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Update timestamp.</w:t>
            </w:r>
          </w:p>
        </w:tc>
      </w:tr>
    </w:tbl>
    <w:p w14:paraId="0183821A">
      <w:pPr>
        <w:pBdr>
          <w:left w:val="single" w:color="2E5C8A" w:sz="18" w:space="8"/>
        </w:pBdr>
        <w:spacing w:before="160" w:after="240"/>
        <w:ind w:left="200"/>
      </w:pPr>
      <w:r>
        <w:rPr>
          <w:b/>
          <w:bCs/>
          <w:i/>
          <w:iCs/>
          <w:color w:val="2E5C8A"/>
          <w:sz w:val="20"/>
          <w:szCs w:val="20"/>
        </w:rPr>
        <w:t xml:space="preserve">Composite Constraint:  </w:t>
      </w:r>
      <w:r>
        <w:rPr>
          <w:i/>
          <w:iCs/>
          <w:color w:val="444444"/>
          <w:sz w:val="20"/>
          <w:szCs w:val="20"/>
        </w:rPr>
        <w:t>UniqueConstraint("generic_name", "dosage_form", "strength", name="uq_ayush_fssai_medicine_form_strength")</w:t>
      </w:r>
    </w:p>
    <w:p w14:paraId="606A0854">
      <w:pPr>
        <w:pStyle w:val="3"/>
        <w:spacing w:before="360" w:after="160"/>
      </w:pPr>
      <w:r>
        <w:rPr>
          <w:b/>
          <w:bCs/>
          <w:color w:val="2E5C8A"/>
        </w:rPr>
        <w:t>2.4. source_documents</w:t>
      </w:r>
    </w:p>
    <w:p w14:paraId="38B20A4D">
      <w:pPr>
        <w:spacing w:after="200" w:line="300" w:lineRule="auto"/>
        <w:jc w:val="both"/>
      </w:pPr>
      <w:r>
        <w:rPr>
          <w:sz w:val="21"/>
          <w:szCs w:val="21"/>
        </w:rPr>
        <w:t>Tracks downloaded Gazette PDF files and their processing pipeline states.</w:t>
      </w:r>
    </w:p>
    <w:p w14:paraId="7BC6F694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1400"/>
        <w:gridCol w:w="1625"/>
        <w:gridCol w:w="893"/>
        <w:gridCol w:w="3749"/>
      </w:tblGrid>
      <w:tr w14:paraId="057EAB56">
        <w:trPr>
          <w:tblHeader/>
        </w:trPr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49E8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FCAA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SQL Data Type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8448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Indexes / Constraints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636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6936D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6C07C98C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0B04E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FD038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INTEGER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578ED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Serial / Autoincrement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09B6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B745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 document identifier.</w:t>
            </w:r>
          </w:p>
        </w:tc>
      </w:tr>
      <w:tr w14:paraId="735408BD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AC4B0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file_name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9530D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VARCHAR(255)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6AC7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UNIQUE, 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9E53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58DE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Sanitized local filename.</w:t>
            </w:r>
          </w:p>
        </w:tc>
      </w:tr>
      <w:tr w14:paraId="58A2DF9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D23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file_path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B7293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C498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9EBC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8187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Local workspace storage directory path.</w:t>
            </w:r>
          </w:p>
        </w:tc>
      </w:tr>
      <w:tr w14:paraId="6B47294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F13A0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download_url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6D11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798A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7CEB3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C613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Source HTTP URL page link.</w:t>
            </w:r>
          </w:p>
        </w:tc>
      </w:tr>
      <w:tr w14:paraId="54212CA2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4AA9A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download_date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ABC93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3810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D5E1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34AB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Download completion timestamp.</w:t>
            </w:r>
          </w:p>
        </w:tc>
      </w:tr>
      <w:tr w14:paraId="3B8B44B0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BBDE8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notification_number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1CBB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7EF44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8126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C1C2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Gazette identifier linked to the document.</w:t>
            </w:r>
          </w:p>
        </w:tc>
      </w:tr>
      <w:tr w14:paraId="2F9C62E1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78CB5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processing_status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0BD8D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36996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C2AC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'pending'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71F4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Processing state (pending | processed | error).</w:t>
            </w:r>
          </w:p>
        </w:tc>
      </w:tr>
      <w:tr w14:paraId="2032A067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46E0A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notes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E9AB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88B92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93FE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53C0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Operational notes or processing error logs.</w:t>
            </w:r>
          </w:p>
        </w:tc>
      </w:tr>
    </w:tbl>
    <w:p w14:paraId="79423AF6">
      <w:pPr>
        <w:spacing w:after="200"/>
      </w:pPr>
    </w:p>
    <w:p w14:paraId="5F4A7395">
      <w:pPr>
        <w:pStyle w:val="3"/>
        <w:spacing w:before="360" w:after="160"/>
      </w:pPr>
      <w:r>
        <w:rPr>
          <w:b/>
          <w:bCs/>
          <w:color w:val="2E5C8A"/>
        </w:rPr>
        <w:t>2.5. notifications_processed</w:t>
      </w:r>
    </w:p>
    <w:p w14:paraId="0FA1A258">
      <w:pPr>
        <w:spacing w:after="200" w:line="300" w:lineRule="auto"/>
        <w:jc w:val="both"/>
      </w:pPr>
      <w:r>
        <w:rPr>
          <w:sz w:val="21"/>
          <w:szCs w:val="21"/>
        </w:rPr>
        <w:t>Provides a detailed audit trail of crawler discovery and download attempts for every unique Gazette identifier.</w:t>
      </w:r>
    </w:p>
    <w:p w14:paraId="64126563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1315"/>
        <w:gridCol w:w="1633"/>
        <w:gridCol w:w="895"/>
        <w:gridCol w:w="3824"/>
      </w:tblGrid>
      <w:tr w14:paraId="4345466D">
        <w:trPr>
          <w:tblHeader/>
        </w:trPr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8FDF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577B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SQL Data Type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44C95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Indexes / Constraints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9BF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A079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6E6427B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783AC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07230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INTEGER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A2B14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Serial / Autoincrement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F57A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A89F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 record identifier.</w:t>
            </w:r>
          </w:p>
        </w:tc>
      </w:tr>
      <w:tr w14:paraId="2F2549D5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34E21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notification_number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06315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F24B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UNIQUE, INDEX, 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FF87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E5F34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Normalized Gazette notification number.</w:t>
            </w:r>
          </w:p>
        </w:tc>
      </w:tr>
      <w:tr w14:paraId="41E597F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ABE46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notification_date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6AE7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DATE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AF54D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E5E16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1393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Extracted notification date.</w:t>
            </w:r>
          </w:p>
        </w:tc>
      </w:tr>
      <w:tr w14:paraId="272CF345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59A94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source_url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20ECD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8B29F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D7B9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4A28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Resolved PDF download endpoint link.</w:t>
            </w:r>
          </w:p>
        </w:tc>
      </w:tr>
      <w:tr w14:paraId="216FE2FE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D09E7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pdf_path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E2CB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F1B2E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79FA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3FDA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Local path to verified download file.</w:t>
            </w:r>
          </w:p>
        </w:tc>
      </w:tr>
      <w:tr w14:paraId="2533C7A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F2922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download_status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CC30A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BC384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A4046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'pending'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4CF4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Status (pending | downloaded | failed | missing).</w:t>
            </w:r>
          </w:p>
        </w:tc>
      </w:tr>
      <w:tr w14:paraId="61FCE0C2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90FD6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parsing_status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37DC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733F7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FCAB6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'pending'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014B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Status (pending | parsed | failed | skipped).</w:t>
            </w:r>
          </w:p>
        </w:tc>
      </w:tr>
      <w:tr w14:paraId="73C68492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E4117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error_message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C5D0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5E1C4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8858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1EAC3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Failure traceback or connection timeout error detail.</w:t>
            </w:r>
          </w:p>
        </w:tc>
      </w:tr>
      <w:tr w14:paraId="2F240956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C8F48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last_attempt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9495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D2A11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5703E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09E1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of the most recent crawl/acquire retry.</w:t>
            </w:r>
          </w:p>
        </w:tc>
      </w:tr>
    </w:tbl>
    <w:p w14:paraId="68FBE54F">
      <w:pPr>
        <w:spacing w:after="200"/>
      </w:pPr>
    </w:p>
    <w:p w14:paraId="7EA00779">
      <w:pPr>
        <w:pStyle w:val="3"/>
        <w:spacing w:before="360" w:after="160"/>
      </w:pPr>
      <w:r>
        <w:rPr>
          <w:b/>
          <w:bCs/>
          <w:color w:val="2E5C8A"/>
        </w:rPr>
        <w:t>2.6. manual_review_queue</w:t>
      </w:r>
    </w:p>
    <w:p w14:paraId="02AC53EA">
      <w:pPr>
        <w:spacing w:after="200" w:line="300" w:lineRule="auto"/>
        <w:jc w:val="both"/>
      </w:pPr>
      <w:r>
        <w:rPr>
          <w:sz w:val="21"/>
          <w:szCs w:val="21"/>
        </w:rPr>
        <w:t>Manages pipeline exceptions, ensuring data anomalies, scanned PDFs, or unlinked aggregator records are safely flagged for human verification.</w:t>
      </w:r>
    </w:p>
    <w:p w14:paraId="47260E04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3"/>
        <w:gridCol w:w="1315"/>
        <w:gridCol w:w="1631"/>
        <w:gridCol w:w="895"/>
        <w:gridCol w:w="3826"/>
      </w:tblGrid>
      <w:tr w14:paraId="7DDD6111">
        <w:trPr>
          <w:tblHeader/>
        </w:trPr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4CFE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Column Name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B328D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SQL Data Type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0B0A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Indexes / Constraints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DFF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7CD0D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14:paraId="5DBA36AD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70463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FC08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INTEGER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E195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Serial / Autoincrement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B9E0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770D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Unique queue item identifier.</w:t>
            </w:r>
          </w:p>
        </w:tc>
      </w:tr>
      <w:tr w14:paraId="7999ED2D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E8CA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notification_number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046E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33AB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95FD8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9936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Gazette reference associated with the exception.</w:t>
            </w:r>
          </w:p>
        </w:tc>
      </w:tr>
      <w:tr w14:paraId="120DE9CA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F2352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notification_date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748A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DATE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411A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INDEX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F0AE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F6C8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Associated date.</w:t>
            </w:r>
          </w:p>
        </w:tc>
      </w:tr>
      <w:tr w14:paraId="2D0BA5E8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C2E9B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source_url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E636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24190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FBE4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80D5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Originating link.</w:t>
            </w:r>
          </w:p>
        </w:tc>
      </w:tr>
      <w:tr w14:paraId="184DB2E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13EB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issue_type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5F6D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VARCHAR(50)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0FF8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NOT NULL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5FBD3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8A8A8A"/>
                <w:sz w:val="17"/>
                <w:szCs w:val="17"/>
              </w:rPr>
              <w:t>—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69993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Category (scanned_pdf | parsing_failed | validation_failed | unlinked_record).</w:t>
            </w:r>
          </w:p>
        </w:tc>
      </w:tr>
      <w:tr w14:paraId="6D958F9E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205B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description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34C74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D7E0C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20451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62A3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Detailed error description.</w:t>
            </w:r>
          </w:p>
        </w:tc>
      </w:tr>
      <w:tr w14:paraId="7C92ACD7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E2FBD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raw_text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BFFA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TEXT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9939C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4CE9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NULL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5546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Extracted unformatted parser text for inspection.</w:t>
            </w:r>
          </w:p>
        </w:tc>
      </w:tr>
      <w:tr w14:paraId="4236B3F3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AC3CF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status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8E03B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VARCHAR(20)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1C04F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31B0F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'pending'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A912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Review state (pending | reviewed | resolved).</w:t>
            </w:r>
          </w:p>
        </w:tc>
      </w:tr>
      <w:tr w14:paraId="57FEF861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B68F5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date_added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CC2BD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9AB09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33C6C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B885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Date queued.</w:t>
            </w:r>
          </w:p>
        </w:tc>
      </w:tr>
      <w:tr w14:paraId="69CACE4F">
        <w:tc>
          <w:tcPr>
            <w:tcW w:w="15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06006"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olor w:val="222222"/>
                <w:sz w:val="17"/>
                <w:szCs w:val="17"/>
              </w:rPr>
              <w:t>last_updated</w:t>
            </w:r>
          </w:p>
        </w:tc>
        <w:tc>
          <w:tcPr>
            <w:tcW w:w="13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94F69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TIMESTAMP WITH TZ</w:t>
            </w:r>
          </w:p>
        </w:tc>
        <w:tc>
          <w:tcPr>
            <w:tcW w:w="165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372CD"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A8A8A"/>
                <w:sz w:val="17"/>
                <w:szCs w:val="17"/>
              </w:rPr>
              <w:t>—</w:t>
            </w:r>
          </w:p>
        </w:tc>
        <w:tc>
          <w:tcPr>
            <w:tcW w:w="90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85F77"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now() UTC</w:t>
            </w:r>
          </w:p>
        </w:tc>
        <w:tc>
          <w:tcPr>
            <w:tcW w:w="3960" w:type="dxa"/>
            <w:tcBorders>
              <w:top w:val="single" w:color="B7C3D1" w:sz="2" w:space="0"/>
              <w:left w:val="single" w:color="B7C3D1" w:sz="2" w:space="0"/>
              <w:bottom w:val="single" w:color="B7C3D1" w:sz="2" w:space="0"/>
              <w:right w:val="single" w:color="B7C3D1" w:sz="2" w:space="0"/>
            </w:tcBorders>
            <w:shd w:val="clear" w:color="auto" w:fill="ED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8A88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22222"/>
                <w:sz w:val="17"/>
                <w:szCs w:val="17"/>
              </w:rPr>
              <w:t>Last state transition timestamp.</w:t>
            </w:r>
          </w:p>
        </w:tc>
      </w:tr>
    </w:tbl>
    <w:p w14:paraId="7779CC1F">
      <w:pPr>
        <w:pStyle w:val="2"/>
        <w:pBdr>
          <w:bottom w:val="single" w:color="1F3864" w:sz="6" w:space="4"/>
        </w:pBdr>
        <w:spacing w:before="480" w:after="200"/>
      </w:pPr>
      <w:r>
        <w:rPr>
          <w:b/>
          <w:bCs/>
          <w:color w:val="1F3864"/>
        </w:rPr>
        <w:t>3. Key Design Decisions &amp; Mechanisms</w:t>
      </w:r>
    </w:p>
    <w:p w14:paraId="6B429970">
      <w:pPr>
        <w:pStyle w:val="3"/>
        <w:spacing w:before="360" w:after="160"/>
      </w:pPr>
      <w:r>
        <w:rPr>
          <w:b/>
          <w:bCs/>
          <w:color w:val="2E5C8A"/>
        </w:rPr>
        <w:t>3.1. Composite Unique Constraints for Revision Auditing</w:t>
      </w:r>
    </w:p>
    <w:p w14:paraId="6BC24717">
      <w:pPr>
        <w:spacing w:after="200" w:line="300" w:lineRule="auto"/>
        <w:jc w:val="both"/>
      </w:pPr>
      <w:r>
        <w:rPr>
          <w:sz w:val="21"/>
          <w:szCs w:val="21"/>
        </w:rPr>
        <w:t>Historically, India's CDSCO has published amendments that alter previous notifications. To accommodate this without throwing unique key constraint violations (e.g. if a drug formulation is banned, then amended, then revoked), the primary unique constraint uq_medicine_form_strength_notif incorporates both the drug profile and the Gazette notification number. This enables tracking the entire legal lifecycle of a molecule.</w:t>
      </w:r>
    </w:p>
    <w:p w14:paraId="7EA9AD61">
      <w:pPr>
        <w:pStyle w:val="3"/>
        <w:spacing w:before="360" w:after="160"/>
      </w:pPr>
      <w:r>
        <w:rPr>
          <w:b/>
          <w:bCs/>
          <w:color w:val="2E5C8A"/>
        </w:rPr>
        <w:t>3.2. Chemical-Level FDC Indexing</w:t>
      </w:r>
    </w:p>
    <w:p w14:paraId="03C3B731">
      <w:pPr>
        <w:spacing w:after="200" w:line="300" w:lineRule="auto"/>
        <w:jc w:val="both"/>
      </w:pPr>
      <w:r>
        <w:rPr>
          <w:sz w:val="21"/>
          <w:szCs w:val="21"/>
        </w:rPr>
        <w:t>Bans are often written at the combination level (e.g., Aceclofenac + Paracetamol + Rabeprazole). To make the dataset searchable by individual ingredients, the parsing pipeline extracts, splits, and stores the constituents in the Postgres ingredients array column, alongside a boolean is_fdc flag. This allows high-performance queries using the Postgres array containment operator (@&gt;):</w:t>
      </w:r>
    </w:p>
    <w:p w14:paraId="3DC0774E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4E5884">
        <w:tc>
          <w:tcPr>
            <w:tcW w:w="9360" w:type="dxa"/>
            <w:tcBorders>
              <w:top w:val="single" w:color="1E1E1E" w:sz="2" w:space="0"/>
              <w:left w:val="single" w:color="1E1E1E" w:sz="2" w:space="0"/>
              <w:bottom w:val="single" w:color="1E1E1E" w:sz="2" w:space="0"/>
              <w:right w:val="single" w:color="1E1E1E" w:sz="2" w:space="0"/>
            </w:tcBorders>
            <w:shd w:val="clear" w:color="auto" w:fill="1E1E1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22A58B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6A9955"/>
                <w:sz w:val="19"/>
                <w:szCs w:val="19"/>
              </w:rPr>
              <w:t>-- Find all FDCs containing Paracetamol</w:t>
            </w:r>
          </w:p>
          <w:p w14:paraId="432CA851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D4D4D4"/>
                <w:sz w:val="19"/>
                <w:szCs w:val="19"/>
              </w:rPr>
              <w:t>SELECT * FROM banned_medicines</w:t>
            </w:r>
          </w:p>
          <w:p w14:paraId="7D64C782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D4D4D4"/>
                <w:sz w:val="19"/>
                <w:szCs w:val="19"/>
              </w:rPr>
              <w:t>WHERE is_fdc = TRUE</w:t>
            </w:r>
          </w:p>
          <w:p w14:paraId="1163F9D1">
            <w:pPr>
              <w:spacing w:after="0" w:line="260" w:lineRule="auto"/>
            </w:pPr>
            <w:r>
              <w:rPr>
                <w:rFonts w:ascii="Consolas" w:hAnsi="Consolas" w:eastAsia="Consolas" w:cs="Consolas"/>
                <w:color w:val="D4D4D4"/>
                <w:sz w:val="19"/>
                <w:szCs w:val="19"/>
              </w:rPr>
              <w:t xml:space="preserve">  AND ingredients @&gt; ARRAY['Paracetamol'];</w:t>
            </w:r>
          </w:p>
        </w:tc>
      </w:tr>
    </w:tbl>
    <w:p w14:paraId="35FE938C">
      <w:pPr>
        <w:spacing w:after="200"/>
      </w:pPr>
    </w:p>
    <w:p w14:paraId="7C9EDECE">
      <w:pPr>
        <w:pStyle w:val="3"/>
        <w:spacing w:before="360" w:after="160"/>
      </w:pPr>
      <w:r>
        <w:rPr>
          <w:b/>
          <w:bCs/>
          <w:color w:val="2E5C8A"/>
        </w:rPr>
        <w:t>3.3. Sandboxed Table Decoupling</w:t>
      </w:r>
    </w:p>
    <w:p w14:paraId="07B13E60">
      <w:pPr>
        <w:spacing w:after="200" w:line="300" w:lineRule="auto"/>
        <w:jc w:val="both"/>
      </w:pPr>
      <w:r>
        <w:rPr>
          <w:sz w:val="21"/>
          <w:szCs w:val="21"/>
        </w:rPr>
        <w:t>To safeguard verified central data, data imported from aggregators (unofficial_medicines) and traditional/supplement bodies (ayush_fssai_medicines) are isolated in dedicated tables. This isolates distinct legal jurisdictions (such as Drugs vs. Foods) and prevents unverified third-party records from polluting the primary banned_medicines CDSCO registry.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B5D04">
    <w:pPr>
      <w:jc w:val="center"/>
    </w:pPr>
    <w:r>
      <w:rPr>
        <w:color w:val="8A8A8A"/>
        <w:sz w:val="15"/>
        <w:szCs w:val="15"/>
      </w:rPr>
      <w:t xml:space="preserve">Page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 xml:space="preserve">PAGE</w:instrText>
    </w:r>
    <w:r>
      <w:rPr>
        <w:color w:val="8A8A8A"/>
        <w:sz w:val="15"/>
        <w:szCs w:val="15"/>
      </w:rPr>
      <w:fldChar w:fldCharType="separate"/>
    </w:r>
    <w:r>
      <w:rPr>
        <w:color w:val="8A8A8A"/>
        <w:sz w:val="15"/>
        <w:szCs w:val="15"/>
      </w:rPr>
      <w:fldChar w:fldCharType="end"/>
    </w:r>
    <w:r>
      <w:rPr>
        <w:color w:val="8A8A8A"/>
        <w:sz w:val="15"/>
        <w:szCs w:val="15"/>
      </w:rPr>
      <w:t xml:space="preserve"> of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 xml:space="preserve">NUMPAGES</w:instrText>
    </w:r>
    <w:r>
      <w:rPr>
        <w:color w:val="8A8A8A"/>
        <w:sz w:val="15"/>
        <w:szCs w:val="15"/>
      </w:rPr>
      <w:fldChar w:fldCharType="separate"/>
    </w:r>
    <w:r>
      <w:rPr>
        <w:color w:val="8A8A8A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2372D">
    <w:pPr>
      <w:pBdr>
        <w:bottom w:val="single" w:color="B7C3D1" w:sz="4" w:space="4"/>
      </w:pBdr>
      <w:jc w:val="right"/>
    </w:pPr>
    <w:r>
      <w:rPr>
        <w:i/>
        <w:iCs/>
        <w:color w:val="8A8A8A"/>
        <w:sz w:val="15"/>
        <w:szCs w:val="15"/>
      </w:rPr>
      <w:t>Database Schema Documentation — Indian Banned Medicines Data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E4A24"/>
    <w:multiLevelType w:val="multilevel"/>
    <w:tmpl w:val="FFEE4A2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7DF86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0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360" w:after="160"/>
    </w:pPr>
    <w:rPr>
      <w:rFonts w:ascii="Calibri" w:hAnsi="Calibri" w:eastAsia="Calibri" w:cs="Calibri"/>
      <w:b/>
      <w:bCs/>
      <w:color w:val="2E5C8A"/>
      <w:sz w:val="25"/>
      <w:szCs w:val="25"/>
    </w:rPr>
  </w:style>
  <w:style w:type="paragraph" w:styleId="4">
    <w:name w:val="heading 3"/>
    <w:next w:val="1"/>
    <w:qFormat/>
    <w:uiPriority w:val="0"/>
    <w:pPr>
      <w:spacing w:before="280" w:after="120"/>
    </w:pPr>
    <w:rPr>
      <w:rFonts w:ascii="Calibri" w:hAnsi="Calibri" w:eastAsia="Calibri" w:cs="Calibri"/>
      <w:b/>
      <w:bCs/>
      <w:color w:val="1F3864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22222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ACHARYA</cp:lastModifiedBy>
  <dcterms:modified xsi:type="dcterms:W3CDTF">2026-07-03T16:47:06Z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1AE1FFFC5A0B2002329A476AB4E98CF0_42</vt:lpwstr>
  </property>
</Properties>
</file>