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5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HeatScope: An Explainable, Spatially Validated and Equity-Aware Framework for Mapping Urban Heat Exposure and Prioritising Mitigation Interventions</w:t>
      </w:r>
    </w:p>
    <w:p>
      <w:pPr>
        <w:pStyle w:val="Date"/>
      </w:pPr>
      <w:r>
        <w:t xml:space="preserve">October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Urban heat exposure mapping is increasingly operational: municipalities need cell-level estimates of</w:t>
      </w:r>
      <w:r>
        <w:t xml:space="preserve"> </w:t>
      </w:r>
      <w:r>
        <w:t xml:space="preserve">where heat is intense, who is exposed, how much confidence to place in the estimate, and which</w:t>
      </w:r>
      <w:r>
        <w:t xml:space="preserve"> </w:t>
      </w:r>
      <w:r>
        <w:t xml:space="preserve">interventions to deploy first under a fixed budget. Most published pipelines deliver only part of</w:t>
      </w:r>
      <w:r>
        <w:t xml:space="preserve"> </w:t>
      </w:r>
      <w:r>
        <w:t xml:space="preserve">this chain, and reported accuracy figures are frequently optimistic because model selection uses</w:t>
      </w:r>
      <w:r>
        <w:t xml:space="preserve"> </w:t>
      </w:r>
      <w:r>
        <w:t xml:space="preserve">random rather than spatially structured cross-validation. This paper presents</w:t>
      </w:r>
      <w:r>
        <w:t xml:space="preserve"> </w:t>
      </w:r>
      <w:r>
        <w:rPr>
          <w:b/>
          <w:bCs/>
        </w:rPr>
        <w:t xml:space="preserve">HeatScope</w:t>
      </w:r>
      <w:r>
        <w:t xml:space="preserve">, an</w:t>
      </w:r>
      <w:r>
        <w:t xml:space="preserve"> </w:t>
      </w:r>
      <w:r>
        <w:t xml:space="preserve">end-to-end framework for Bengaluru, India that couples four elements which the urban-climate and</w:t>
      </w:r>
      <w:r>
        <w:t xml:space="preserve"> </w:t>
      </w:r>
      <w:r>
        <w:t xml:space="preserve">geospatial machine-learning literatures generally treat separately. First, a 250 m analysis grid is</w:t>
      </w:r>
      <w:r>
        <w:t xml:space="preserve"> </w:t>
      </w:r>
      <w:r>
        <w:t xml:space="preserve">built over a 0.33° × 0.34° study region enclosing the metropolitan area, and within-cell upper-tail</w:t>
      </w:r>
      <w:r>
        <w:t xml:space="preserve"> </w:t>
      </w:r>
      <w:r>
        <w:t xml:space="preserve">(p95) land-surface temperature is predicted from nine spectral, built-form, demographic and</w:t>
      </w:r>
      <w:r>
        <w:t xml:space="preserve"> </w:t>
      </w:r>
      <w:r>
        <w:t xml:space="preserve">neighbourhood-mean predictors using gradient-boosted regression trees. Second, all model assessment uses five-fold</w:t>
      </w:r>
      <w:r>
        <w:t xml:space="preserve"> </w:t>
      </w:r>
      <w:r>
        <w:t xml:space="preserve">cross-validation grouped by 240 spatially contiguous ~2.5 km blocks, with an explicit assertion that</w:t>
      </w:r>
      <w:r>
        <w:t xml:space="preserve"> </w:t>
      </w:r>
      <w:r>
        <w:t xml:space="preserve">no block is shared between training and test partitions. Third, attribution is made operational</w:t>
      </w:r>
      <w:r>
        <w:t xml:space="preserve"> </w:t>
      </w:r>
      <w:r>
        <w:t xml:space="preserve">rather than diagnostic: TreeSHAP values for four neighbourhood-mean features account for 45.42% of</w:t>
      </w:r>
      <w:r>
        <w:t xml:space="preserve"> </w:t>
      </w:r>
      <w:r>
        <w:t xml:space="preserve">total model attribution, which is then propagated into a priority score and into intervention</w:t>
      </w:r>
      <w:r>
        <w:t xml:space="preserve"> </w:t>
      </w:r>
      <w:r>
        <w:t xml:space="preserve">benefit weights. Fourth, distributional objectives enter the allocation problem itself, as a</w:t>
      </w:r>
      <w:r>
        <w:t xml:space="preserve"> </w:t>
      </w:r>
      <w:r>
        <w:t xml:space="preserve">mixed-integer program that maximises scenario benefit subject to a budget, per-type capacity limits,</w:t>
      </w:r>
      <w:r>
        <w:t xml:space="preserve"> </w:t>
      </w:r>
      <w:r>
        <w:t xml:space="preserve">and a floor on the share of benefit accruing to equity-priority cells. Out-of-fold performance is</w:t>
      </w:r>
      <w:r>
        <w:t xml:space="preserve"> </w:t>
      </w:r>
      <w:r>
        <w:t xml:space="preserve">MAE 1.174 °C, RMSE 1.548 °C and R² 0.655, a 3.62% RMSE reduction over a five-feature baseline, and</w:t>
      </w:r>
      <w:r>
        <w:t xml:space="preserve"> </w:t>
      </w:r>
      <w:r>
        <w:t xml:space="preserve">cross-fitted prediction intervals achieve 94.94% empirical coverage at a mean width of 6.14 °C.</w:t>
      </w:r>
      <w:r>
        <w:t xml:space="preserve"> </w:t>
      </w:r>
      <w:r>
        <w:t xml:space="preserve">Requiring that 70% of benefit accrue to equity-priority cells costs 18.76% of total benefit, while a</w:t>
      </w:r>
      <w:r>
        <w:t xml:space="preserve"> </w:t>
      </w:r>
      <w:r>
        <w:t xml:space="preserve">60% floor costs 5.22%. A 500-run Monte Carlo analysis of cost, effect and capacity uncertainty</w:t>
      </w:r>
      <w:r>
        <w:t xml:space="preserve"> </w:t>
      </w:r>
      <w:r>
        <w:t xml:space="preserve">returns a certified-optimal solution in 475 runs. We report each of these results with its</w:t>
      </w:r>
      <w:r>
        <w:t xml:space="preserve"> </w:t>
      </w:r>
      <w:r>
        <w:t xml:space="preserve">disqualifying caveats made explicit: the target is a single-date spatial percentile and not a</w:t>
      </w:r>
      <w:r>
        <w:t xml:space="preserve"> </w:t>
      </w:r>
      <w:r>
        <w:t xml:space="preserve">temporal heat extreme; attribution is associational, not causal; surface temperature is not air</w:t>
      </w:r>
      <w:r>
        <w:t xml:space="preserve"> </w:t>
      </w:r>
      <w:r>
        <w:t xml:space="preserve">temperature; benefit and cost are dimensionless scenario units; and the reported intervals are</w:t>
      </w:r>
      <w:r>
        <w:t xml:space="preserve"> </w:t>
      </w:r>
      <w:r>
        <w:t xml:space="preserve">empirically calibrated but carry no formal coverage guarantee.</w:t>
      </w:r>
    </w:p>
    <w:p>
      <w:pPr>
        <w:pStyle w:val="BodyText"/>
      </w:pPr>
      <w:r>
        <w:rPr>
          <w:b/>
          <w:bCs/>
        </w:rPr>
        <w:t xml:space="preserve">Index Terms</w:t>
      </w:r>
      <w:r>
        <w:t xml:space="preserve">—urban heat island, surface temperature, remote sensing, explainable AI, spatial</w:t>
      </w:r>
      <w:r>
        <w:t xml:space="preserve"> </w:t>
      </w:r>
      <w:r>
        <w:t xml:space="preserve">cross-validation, equity-aware optimisation, urban heat vulnerability.</w:t>
      </w:r>
    </w:p>
    <w:bookmarkEnd w:id="9"/>
    <w:bookmarkStart w:id="10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Urban heat is not distributed uniformly within a city, and the people who live in its hottest</w:t>
      </w:r>
      <w:r>
        <w:t xml:space="preserve"> </w:t>
      </w:r>
      <w:r>
        <w:t xml:space="preserve">neighbourhoods are frequently those with the least capacity to adapt [1], [2]. This coupling of</w:t>
      </w:r>
      <w:r>
        <w:t xml:space="preserve"> </w:t>
      </w:r>
      <w:r>
        <w:t xml:space="preserve">hazard and social context is what motivates the development of</w:t>
      </w:r>
      <w:r>
        <w:t xml:space="preserve"> </w:t>
      </w:r>
      <w:r>
        <w:rPr>
          <w:i/>
          <w:iCs/>
        </w:rPr>
        <w:t xml:space="preserve">heat vulnerability</w:t>
      </w:r>
      <w:r>
        <w:t xml:space="preserve"> </w:t>
      </w:r>
      <w:r>
        <w:t xml:space="preserve">mapping rather</w:t>
      </w:r>
      <w:r>
        <w:t xml:space="preserve"> </w:t>
      </w:r>
      <w:r>
        <w:t xml:space="preserve">than heat-hazard mapping alone [11], [14]. Satellite land-surface temperature (LST) has become the</w:t>
      </w:r>
      <w:r>
        <w:t xml:space="preserve"> </w:t>
      </w:r>
      <w:r>
        <w:t xml:space="preserve">workhorse measurement for such mapping at city scale, because thermal-infrared sensors such as those</w:t>
      </w:r>
      <w:r>
        <w:t xml:space="preserve"> </w:t>
      </w:r>
      <w:r>
        <w:t xml:space="preserve">aboard Landsat 8 and 9 provide 30 m observations with a validated processing chain [1]–[4] and a</w:t>
      </w:r>
      <w:r>
        <w:t xml:space="preserve"> </w:t>
      </w:r>
      <w:r>
        <w:t xml:space="preserve">long, stable record [6].</w:t>
      </w:r>
    </w:p>
    <w:p>
      <w:pPr>
        <w:pStyle w:val="BodyText"/>
      </w:pPr>
      <w:r>
        <w:t xml:space="preserve">The decision problem, however, is not merely to produce a map. A municipality must also decide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its measurements are uncertain,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places to treat as high priority,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mix of</w:t>
      </w:r>
      <w:r>
        <w:t xml:space="preserve"> </w:t>
      </w:r>
      <w:r>
        <w:t xml:space="preserve">interventions to buy with a fixed budget, ideally without systematically disadvantaging the</w:t>
      </w:r>
      <w:r>
        <w:t xml:space="preserve"> </w:t>
      </w:r>
      <w:r>
        <w:t xml:space="preserve">populations already most exposed. Each of these steps has its own methodological literature, and the</w:t>
      </w:r>
      <w:r>
        <w:t xml:space="preserve"> </w:t>
      </w:r>
      <w:r>
        <w:t xml:space="preserve">most serious errors observed in published urban-heat machine-learning work are methodological rather</w:t>
      </w:r>
      <w:r>
        <w:t xml:space="preserve"> </w:t>
      </w:r>
      <w:r>
        <w:t xml:space="preserve">than algorithmic. Three recur.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optimistic validation</w:t>
      </w:r>
      <w:r>
        <w:t xml:space="preserve">. Random k-fold cross-validation on spatially autocorrelated</w:t>
      </w:r>
      <w:r>
        <w:t xml:space="preserve"> </w:t>
      </w:r>
      <w:r>
        <w:t xml:space="preserve">data places near neighbours of a test cell in the training set, so reported error understates true</w:t>
      </w:r>
      <w:r>
        <w:t xml:space="preserve"> </w:t>
      </w:r>
      <w:r>
        <w:t xml:space="preserve">spatial error; this bias has been quantified for large-scale environmental mapping [26], [27]. The</w:t>
      </w:r>
      <w:r>
        <w:t xml:space="preserve"> </w:t>
      </w:r>
      <w:r>
        <w:t xml:space="preserve">second is</w:t>
      </w:r>
      <w:r>
        <w:t xml:space="preserve"> </w:t>
      </w:r>
      <w:r>
        <w:rPr>
          <w:b/>
          <w:bCs/>
        </w:rPr>
        <w:t xml:space="preserve">over-reading of attribution</w:t>
      </w:r>
      <w:r>
        <w:t xml:space="preserve">. Shapley-based explanations describe how a fitted model</w:t>
      </w:r>
      <w:r>
        <w:t xml:space="preserve"> </w:t>
      </w:r>
      <w:r>
        <w:t xml:space="preserve">uses its inputs; they do not establish that the input causes the outcome [28], [29]. The third is</w:t>
      </w:r>
      <w:r>
        <w:t xml:space="preserve"> </w:t>
      </w:r>
      <w:r>
        <w:rPr>
          <w:b/>
          <w:bCs/>
        </w:rPr>
        <w:t xml:space="preserve">silent conflation of two quantities that look alike</w:t>
      </w:r>
      <w:r>
        <w:t xml:space="preserve">: a percentile computed across spatial pixels</w:t>
      </w:r>
      <w:r>
        <w:t xml:space="preserve"> </w:t>
      </w:r>
      <w:r>
        <w:t xml:space="preserve">within one cell on one date is not a temporal extreme, and surface temperature is not air</w:t>
      </w:r>
      <w:r>
        <w:t xml:space="preserve"> </w:t>
      </w:r>
      <w:r>
        <w:t xml:space="preserve">temperature [5], [11].</w:t>
      </w:r>
    </w:p>
    <w:p>
      <w:pPr>
        <w:pStyle w:val="BodyText"/>
      </w:pPr>
      <w:r>
        <w:t xml:space="preserve">Against this background we designed HeatScope to be auditable end to end. Every reported number in</w:t>
      </w:r>
      <w:r>
        <w:t xml:space="preserve"> </w:t>
      </w:r>
      <w:r>
        <w:t xml:space="preserve">this paper is reproducible from a committed artifact by a fixed script order, and where an artifact</w:t>
      </w:r>
      <w:r>
        <w:t xml:space="preserve"> </w:t>
      </w:r>
      <w:r>
        <w:t xml:space="preserve">does not support an intended claim we report the narrower claim that it does support rather than</w:t>
      </w:r>
      <w:r>
        <w:t xml:space="preserve"> </w:t>
      </w:r>
      <w:r>
        <w:t xml:space="preserve">omitting the discrepancy. Section VIII enumerates the cases where this forced a change of framing;</w:t>
      </w:r>
      <w:r>
        <w:t xml:space="preserve"> </w:t>
      </w:r>
      <w:r>
        <w:t xml:space="preserve">we regard that enumeration as a contribution in its own right, because the affected quantities are</w:t>
      </w:r>
      <w:r>
        <w:t xml:space="preserve"> </w:t>
      </w:r>
      <w:r>
        <w:t xml:space="preserve">precisely those that decision-makers would otherwise rely on.</w:t>
      </w:r>
    </w:p>
    <w:p>
      <w:pPr>
        <w:pStyle w:val="BodyText"/>
      </w:pPr>
      <w:r>
        <w:t xml:space="preserve">The contributions of this work are as follows.</w:t>
      </w:r>
    </w:p>
    <w:p>
      <w:pPr>
        <w:pStyle w:val="Compact"/>
        <w:numPr>
          <w:ilvl w:val="0"/>
          <w:numId w:val="1001"/>
        </w:numPr>
      </w:pPr>
      <w:r>
        <w:t xml:space="preserve">A complete 250 m pipeline for Bengaluru producing within-cell upper-tail LST, spectral indices,</w:t>
      </w:r>
      <w:r>
        <w:t xml:space="preserve"> </w:t>
      </w:r>
      <w:r>
        <w:t xml:space="preserve">built-form metrics and gridded population, from a single pinned Landsat 8 acquisition through to</w:t>
      </w:r>
      <w:r>
        <w:t xml:space="preserve"> </w:t>
      </w:r>
      <w:r>
        <w:t xml:space="preserve">intervention siting, with every intermediate artifact retained.</w:t>
      </w:r>
    </w:p>
    <w:p>
      <w:pPr>
        <w:pStyle w:val="Compact"/>
        <w:numPr>
          <w:ilvl w:val="0"/>
          <w:numId w:val="1001"/>
        </w:numPr>
      </w:pPr>
      <w:r>
        <w:t xml:space="preserve">A spatially structured evaluation protocol — five folds over 240 contiguous ~2.5 km blocks, with</w:t>
      </w:r>
      <w:r>
        <w:t xml:space="preserve"> </w:t>
      </w:r>
      <w:r>
        <w:t xml:space="preserve">a programmatic leakage assertion — applied not only at final evaluation but to every model and</w:t>
      </w:r>
      <w:r>
        <w:t xml:space="preserve"> </w:t>
      </w:r>
      <w:r>
        <w:t xml:space="preserve">every uncertainty estimate in the chain (Section V-B).</w:t>
      </w:r>
    </w:p>
    <w:p>
      <w:pPr>
        <w:pStyle w:val="Compact"/>
        <w:numPr>
          <w:ilvl w:val="0"/>
          <w:numId w:val="1001"/>
        </w:numPr>
      </w:pPr>
      <w:r>
        <w:t xml:space="preserve">Demonstration that neighbourhood-mean context features measurably improve both accuracy and, more</w:t>
      </w:r>
      <w:r>
        <w:t xml:space="preserve"> </w:t>
      </w:r>
      <w:r>
        <w:t xml:space="preserve">importantly, error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across the temperature distribution, reducing hottest-quintile bias</w:t>
      </w:r>
      <w:r>
        <w:t xml:space="preserve"> </w:t>
      </w:r>
      <w:r>
        <w:t xml:space="preserve">by 8.08% (Section VI-C).</w:t>
      </w:r>
    </w:p>
    <w:p>
      <w:pPr>
        <w:pStyle w:val="Compact"/>
        <w:numPr>
          <w:ilvl w:val="0"/>
          <w:numId w:val="1001"/>
        </w:numPr>
      </w:pPr>
      <w:r>
        <w:t xml:space="preserve">A cross-fitted prediction-interval scheme with reported coverage by temperature quintile, which</w:t>
      </w:r>
      <w:r>
        <w:t xml:space="preserve"> </w:t>
      </w:r>
      <w:r>
        <w:t xml:space="preserve">exposes a 7-point coverage deficit in the hottest quintile that a single pooled number conceals</w:t>
      </w:r>
      <w:r>
        <w:t xml:space="preserve"> </w:t>
      </w:r>
      <w:r>
        <w:t xml:space="preserve">(Section VI-D).</w:t>
      </w:r>
    </w:p>
    <w:p>
      <w:pPr>
        <w:pStyle w:val="Compact"/>
        <w:numPr>
          <w:ilvl w:val="0"/>
          <w:numId w:val="1001"/>
        </w:numPr>
      </w:pPr>
      <w:r>
        <w:t xml:space="preserve">An equity-constrained mixed-integer allocation model, with an explicit account of what each</w:t>
      </w:r>
      <w:r>
        <w:t xml:space="preserve"> </w:t>
      </w:r>
      <w:r>
        <w:t xml:space="preserve">constraint costs in benefit and of where its inputs come from (Section VI-E).</w:t>
      </w:r>
    </w:p>
    <w:p>
      <w:pPr>
        <w:pStyle w:val="Compact"/>
        <w:numPr>
          <w:ilvl w:val="0"/>
          <w:numId w:val="1001"/>
        </w:numPr>
      </w:pPr>
      <w:r>
        <w:t xml:space="preserve">A documented negative result: under the implementation’s index-based benefit formulation,</w:t>
      </w:r>
      <w:r>
        <w:t xml:space="preserve"> </w:t>
      </w:r>
      <w:r>
        <w:t xml:space="preserve">cell-invariant per-intervention effect coefficients cannot influence any ranking (Section VI-E.3).</w:t>
      </w:r>
    </w:p>
    <w:p>
      <w:pPr>
        <w:pStyle w:val="FirstParagraph"/>
      </w:pPr>
      <w:r>
        <w:t xml:space="preserve">Section II positions this work. Section III gives the methodology, Section IV the study area and</w:t>
      </w:r>
      <w:r>
        <w:t xml:space="preserve"> </w:t>
      </w:r>
      <w:r>
        <w:t xml:space="preserve">data, Section V the experimental design, Section VI results, Section VII discussion, Section VIII</w:t>
      </w:r>
      <w:r>
        <w:t xml:space="preserve"> </w:t>
      </w:r>
      <w:r>
        <w:t xml:space="preserve">limitations, and Section IX concludes.</w:t>
      </w:r>
    </w:p>
    <w:bookmarkEnd w:id="10"/>
    <w:bookmarkStart w:id="11" w:name="ii.-related-work"/>
    <w:p>
      <w:pPr>
        <w:pStyle w:val="Heading1"/>
      </w:pPr>
      <w:r>
        <w:t xml:space="preserve">II. Related Work</w:t>
      </w:r>
    </w:p>
    <w:p>
      <w:pPr>
        <w:pStyle w:val="FirstParagraph"/>
      </w:pPr>
      <w:r>
        <w:rPr>
          <w:b/>
          <w:bCs/>
        </w:rPr>
        <w:t xml:space="preserve">Urban heat island remote sensing.</w:t>
      </w:r>
      <w:r>
        <w:t xml:space="preserve"> </w:t>
      </w:r>
      <w:r>
        <w:t xml:space="preserve">Thermal remote sensing of urban climates [5] established the</w:t>
      </w:r>
      <w:r>
        <w:t xml:space="preserve"> </w:t>
      </w:r>
      <w:r>
        <w:t xml:space="preserve">physical basis for retrieving surface temperature and, critically, the distinction between surface and</w:t>
      </w:r>
      <w:r>
        <w:t xml:space="preserve"> </w:t>
      </w:r>
      <w:r>
        <w:t xml:space="preserve">air temperature that bounds what any LST product can claim. Subsequent reviews catalogue retrieval</w:t>
      </w:r>
      <w:r>
        <w:t xml:space="preserve"> </w:t>
      </w:r>
      <w:r>
        <w:t xml:space="preserve">methods, scaling problems, and open challenges [6], [7], and connect mitigation effectiveness to</w:t>
      </w:r>
      <w:r>
        <w:t xml:space="preserve"> </w:t>
      </w:r>
      <w:r>
        <w:t xml:space="preserve">vulnerability and health outcomes [8], [9]. The magnitude of urban heat islands has been shown to</w:t>
      </w:r>
      <w:r>
        <w:t xml:space="preserve"> </w:t>
      </w:r>
      <w:r>
        <w:t xml:space="preserve">depend substantially on population and climate rather than urban form alone [10], which supports</w:t>
      </w:r>
      <w:r>
        <w:t xml:space="preserve"> </w:t>
      </w:r>
      <w:r>
        <w:t xml:space="preserve">including demographic covariates alongside spectral ones.</w:t>
      </w:r>
    </w:p>
    <w:p>
      <w:pPr>
        <w:pStyle w:val="BodyText"/>
      </w:pPr>
      <w:r>
        <w:rPr>
          <w:b/>
          <w:bCs/>
        </w:rPr>
        <w:t xml:space="preserve">Exposure, vulnerability, and human thermal comfort.</w:t>
      </w:r>
      <w:r>
        <w:t xml:space="preserve"> </w:t>
      </w:r>
      <w:r>
        <w:t xml:space="preserve">Using LST as a proxy for human thermal</w:t>
      </w:r>
      <w:r>
        <w:t xml:space="preserve"> </w:t>
      </w:r>
      <w:r>
        <w:t xml:space="preserve">exposure is standard practice but carries systematic caveats, most importantly that surface and</w:t>
      </w:r>
      <w:r>
        <w:t xml:space="preserve"> </w:t>
      </w:r>
      <w:r>
        <w:t xml:space="preserve">near-surface air temperature diverge with time of day, season, and surface moisture [5], [11].</w:t>
      </w:r>
      <w:r>
        <w:t xml:space="preserve"> </w:t>
      </w:r>
      <w:r>
        <w:t xml:space="preserve">Exposure time and acclimatization further separate what a thermal index measures from what a person</w:t>
      </w:r>
      <w:r>
        <w:t xml:space="preserve"> </w:t>
      </w:r>
      <w:r>
        <w:t xml:space="preserve">experiences [12]. Recent multi-city work on India documents how urbanisation alters heat exposure</w:t>
      </w:r>
      <w:r>
        <w:t xml:space="preserve"> </w:t>
      </w:r>
      <w:r>
        <w:t xml:space="preserve">risk across Indian cities [13].</w:t>
      </w:r>
    </w:p>
    <w:p>
      <w:pPr>
        <w:pStyle w:val="BodyText"/>
      </w:pPr>
      <w:r>
        <w:rPr>
          <w:b/>
          <w:bCs/>
        </w:rPr>
        <w:t xml:space="preserve">Equity in heat exposure.</w:t>
      </w:r>
      <w:r>
        <w:t xml:space="preserve"> </w:t>
      </w:r>
      <w:r>
        <w:t xml:space="preserve">Exposure is not merely an environmental quantity but a distributional</w:t>
      </w:r>
      <w:r>
        <w:t xml:space="preserve"> </w:t>
      </w:r>
      <w:r>
        <w:t xml:space="preserve">one: a detailed analysis of major US cities found systematically disproportionate exposure to urban</w:t>
      </w:r>
      <w:r>
        <w:t xml:space="preserve"> </w:t>
      </w:r>
      <w:r>
        <w:t xml:space="preserve">heat island intensity [14]. Normative frameworks for justice criteria in urban climate adaptation</w:t>
      </w:r>
      <w:r>
        <w:t xml:space="preserve"> </w:t>
      </w:r>
      <w:r>
        <w:t xml:space="preserve">[33] and operationalised adaptation justice indices [34] exist but, in the cases we verified, equity</w:t>
      </w:r>
      <w:r>
        <w:t xml:space="preserve"> </w:t>
      </w:r>
      <w:r>
        <w:t xml:space="preserve">is evaluated on a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hazard map rather than embedded in the allocation decision. The</w:t>
      </w:r>
      <w:r>
        <w:t xml:space="preserve"> </w:t>
      </w:r>
      <w:r>
        <w:t xml:space="preserve">modifiable-areal-unit sensitivity of environmental-justice findings [35] further motivates fixing and</w:t>
      </w:r>
      <w:r>
        <w:t xml:space="preserve"> </w:t>
      </w:r>
      <w:r>
        <w:t xml:space="preserve">justifying an analysis resolution.</w:t>
      </w:r>
    </w:p>
    <w:p>
      <w:pPr>
        <w:pStyle w:val="BodyText"/>
      </w:pPr>
      <w:r>
        <w:rPr>
          <w:b/>
          <w:bCs/>
        </w:rPr>
        <w:t xml:space="preserve">Spectral indices.</w:t>
      </w:r>
      <w:r>
        <w:t xml:space="preserve"> </w:t>
      </w:r>
      <w:r>
        <w:t xml:space="preserve">NDVI originates with Rouse et al. [17]; the normalised difference moisture index</w:t>
      </w:r>
      <w:r>
        <w:t xml:space="preserve"> </w:t>
      </w:r>
      <w:r>
        <w:t xml:space="preserve">with Gao [15]; NDBI with Zha et al. [16]. We note in Section VI-B that NDBI and NDMI as defined for</w:t>
      </w:r>
      <w:r>
        <w:t xml:space="preserve"> </w:t>
      </w:r>
      <w:r>
        <w:t xml:space="preserve">Landsat are algebraic negatives of one another, which is a property of the definitions rather than of</w:t>
      </w:r>
      <w:r>
        <w:t xml:space="preserve"> </w:t>
      </w:r>
      <w:r>
        <w:t xml:space="preserve">the data.</w:t>
      </w:r>
    </w:p>
    <w:p>
      <w:pPr>
        <w:pStyle w:val="BodyText"/>
      </w:pPr>
      <w:r>
        <w:rPr>
          <w:b/>
          <w:bCs/>
        </w:rPr>
        <w:t xml:space="preserve">Gridded population and built form.</w:t>
      </w:r>
      <w:r>
        <w:t xml:space="preserve"> </w:t>
      </w:r>
      <w:r>
        <w:t xml:space="preserve">WorldPop provides 100 m gridded population denominators via</w:t>
      </w:r>
      <w:r>
        <w:t xml:space="preserve"> </w:t>
      </w:r>
      <w:r>
        <w:t xml:space="preserve">random-forest dasymetric redistribution of census counts [18], [19], [20]. Building footprints from</w:t>
      </w:r>
      <w:r>
        <w:t xml:space="preserve"> </w:t>
      </w:r>
      <w:r>
        <w:t xml:space="preserve">conflated open sources [21] supply built-form coverage. For Bengaluru specifically, studies have</w:t>
      </w:r>
      <w:r>
        <w:t xml:space="preserve"> </w:t>
      </w:r>
      <w:r>
        <w:t xml:space="preserve">related LST to urban growth [36], land cover by concentric ring [37], and the controlling</w:t>
      </w:r>
      <w:r>
        <w:t xml:space="preserve"> </w:t>
      </w:r>
      <w:r>
        <w:t xml:space="preserve">biophysical factors [38]; tropical Indian-city work supports the vegetation and urbanisation feature</w:t>
      </w:r>
      <w:r>
        <w:t xml:space="preserve"> </w:t>
      </w:r>
      <w:r>
        <w:t xml:space="preserve">set used here [39].</w:t>
      </w:r>
    </w:p>
    <w:p>
      <w:pPr>
        <w:pStyle w:val="BodyText"/>
      </w:pPr>
      <w:r>
        <w:rPr>
          <w:b/>
          <w:bCs/>
        </w:rPr>
        <w:t xml:space="preserve">Modelling method.</w:t>
      </w:r>
      <w:r>
        <w:t xml:space="preserve"> </w:t>
      </w:r>
      <w:r>
        <w:t xml:space="preserve">Gradient-boosted decision trees [22] and their scalable variants [23] are the</w:t>
      </w:r>
      <w:r>
        <w:t xml:space="preserve"> </w:t>
      </w:r>
      <w:r>
        <w:t xml:space="preserve">workhorses of tabular environmental prediction; extremely randomised trees [24] and random forests</w:t>
      </w:r>
      <w:r>
        <w:t xml:space="preserve"> </w:t>
      </w:r>
      <w:r>
        <w:t xml:space="preserve">[25] provide standard tree-ensemble baselines.</w:t>
      </w:r>
    </w:p>
    <w:p>
      <w:pPr>
        <w:pStyle w:val="BodyText"/>
      </w:pPr>
      <w:r>
        <w:rPr>
          <w:b/>
          <w:bCs/>
        </w:rPr>
        <w:t xml:space="preserve">Spatially structured validation.</w:t>
      </w:r>
      <w:r>
        <w:t xml:space="preserve"> </w:t>
      </w:r>
      <w:r>
        <w:t xml:space="preserve">Roberts et al. [26] provide the definitive treatment of</w:t>
      </w:r>
      <w:r>
        <w:t xml:space="preserve"> </w:t>
      </w:r>
      <w:r>
        <w:t xml:space="preserve">cross-validation under spatial, temporal, hierarchical and phylogenetic structure. Ploton et al.</w:t>
      </w:r>
      <w:r>
        <w:t xml:space="preserve"> </w:t>
      </w:r>
      <w:r>
        <w:t xml:space="preserve">[27] quantify the resulting optimism for spatial prediction problems.</w:t>
      </w:r>
    </w:p>
    <w:p>
      <w:pPr>
        <w:pStyle w:val="BodyText"/>
      </w:pPr>
      <w:r>
        <w:rPr>
          <w:b/>
          <w:bCs/>
        </w:rPr>
        <w:t xml:space="preserve">Explainability.</w:t>
      </w:r>
      <w:r>
        <w:t xml:space="preserve"> </w:t>
      </w:r>
      <w:r>
        <w:t xml:space="preserve">TreeSHAP [28] and the original Shapley formulation [29] provide exact additive</w:t>
      </w:r>
      <w:r>
        <w:t xml:space="preserve"> </w:t>
      </w:r>
      <w:r>
        <w:t xml:space="preserve">attributions for tree ensembles, which is what permits attribution to be propagated into downstream</w:t>
      </w:r>
      <w:r>
        <w:t xml:space="preserve"> </w:t>
      </w:r>
      <w:r>
        <w:t xml:space="preserve">scenario weights rather than merely displayed.</w:t>
      </w:r>
    </w:p>
    <w:p>
      <w:pPr>
        <w:pStyle w:val="BodyText"/>
      </w:pPr>
      <w:r>
        <w:rPr>
          <w:b/>
          <w:bCs/>
        </w:rPr>
        <w:t xml:space="preserve">Predictive uncertainty.</w:t>
      </w:r>
      <w:r>
        <w:t xml:space="preserve"> </w:t>
      </w:r>
      <w:r>
        <w:t xml:space="preserve">Split conformal prediction [30] and its exposition [31] define the</w:t>
      </w:r>
      <w:r>
        <w:t xml:space="preserve"> </w:t>
      </w:r>
      <w:r>
        <w:t xml:space="preserve">conditions under which a nominal 95% interval actually carries 95% coverage. We use these as the</w:t>
      </w:r>
      <w:r>
        <w:t xml:space="preserve"> </w:t>
      </w:r>
      <w:r>
        <w:t xml:space="preserve">benchmark our intervals are measured against, and we state explicitly where they fall short.</w:t>
      </w:r>
    </w:p>
    <w:p>
      <w:pPr>
        <w:pStyle w:val="BodyText"/>
      </w:pPr>
      <w:r>
        <w:rPr>
          <w:b/>
          <w:bCs/>
        </w:rPr>
        <w:t xml:space="preserve">Sensitivity analysis.</w:t>
      </w:r>
      <w:r>
        <w:t xml:space="preserve"> </w:t>
      </w:r>
      <w:r>
        <w:t xml:space="preserve">Design-based Monte Carlo practice and its reporting requirements are set</w:t>
      </w:r>
      <w:r>
        <w:t xml:space="preserve"> </w:t>
      </w:r>
      <w:r>
        <w:t xml:space="preserve">out by Saltelli et al. [32].</w:t>
      </w:r>
    </w:p>
    <w:p>
      <w:pPr>
        <w:pStyle w:val="BodyText"/>
      </w:pPr>
      <w:r>
        <w:rPr>
          <w:b/>
          <w:bCs/>
        </w:rPr>
        <w:t xml:space="preserve">Optimisation.</w:t>
      </w:r>
      <w:r>
        <w:t xml:space="preserve"> </w:t>
      </w:r>
      <w:r>
        <w:t xml:space="preserve">The allocation stage solves a mixed-integer program through the HiGHS solver</w:t>
      </w:r>
      <w:r>
        <w:t xml:space="preserve"> </w:t>
      </w:r>
      <w:r>
        <w:t xml:space="preserve">[40], [41]. We were unable to verify a peer-reviewed formulation that allocates urban heat</w:t>
      </w:r>
      <w:r>
        <w:t xml:space="preserve"> </w:t>
      </w:r>
      <w:r>
        <w:t xml:space="preserve">mitigation under budget and equity constraints, and we note this gap rather than cite a loosely</w:t>
      </w:r>
      <w:r>
        <w:t xml:space="preserve"> </w:t>
      </w:r>
      <w:r>
        <w:t xml:space="preserve">related study.</w:t>
      </w:r>
    </w:p>
    <w:bookmarkEnd w:id="11"/>
    <w:bookmarkStart w:id="24" w:name="iii.-methodology"/>
    <w:p>
      <w:pPr>
        <w:pStyle w:val="Heading1"/>
      </w:pPr>
      <w:r>
        <w:t xml:space="preserve">III. Methodology</w:t>
      </w:r>
    </w:p>
    <w:bookmarkStart w:id="15" w:name="a.-overview"/>
    <w:p>
      <w:pPr>
        <w:pStyle w:val="Heading2"/>
      </w:pPr>
      <w:r>
        <w:t xml:space="preserve">A. Overview</w:t>
      </w:r>
    </w:p>
    <w:p>
      <w:pPr>
        <w:pStyle w:val="FirstParagraph"/>
      </w:pPr>
      <w:r>
        <w:t xml:space="preserve">Fig. 1 gives the pipeline as implemented. Four data layers — Landsat Collection 2 Level-2 surface</w:t>
      </w:r>
      <w:r>
        <w:t xml:space="preserve"> </w:t>
      </w:r>
      <w:r>
        <w:t xml:space="preserve">reflectance and surface temperature, conflated building footprints, and gridded population — are</w:t>
      </w:r>
      <w:r>
        <w:t xml:space="preserve"> </w:t>
      </w:r>
      <w:r>
        <w:t xml:space="preserve">reduced to a common 250 m grid. Spectral indices and zonal statistics form a feature table. Neighbour</w:t>
      </w:r>
      <w:r>
        <w:t xml:space="preserve"> </w:t>
      </w:r>
      <w:r>
        <w:t xml:space="preserve">context features are derived from that table. Models are trained and assessed under block-grouped</w:t>
      </w:r>
      <w:r>
        <w:t xml:space="preserve"> </w:t>
      </w:r>
      <w:r>
        <w:t xml:space="preserve">spatial cross-validation; attribution is computed and propagated into a priority score and</w:t>
      </w:r>
      <w:r>
        <w:t xml:space="preserve"> </w:t>
      </w:r>
      <w:r>
        <w:t xml:space="preserve">intervention benefit weights; a mixed-integer program allocates interventions; a Monte Carlo</w:t>
      </w:r>
      <w:r>
        <w:t xml:space="preserve"> </w:t>
      </w:r>
      <w:r>
        <w:t xml:space="preserve">analysis perturbs the scenario parameters.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HeatScope pipeline architecture" title="" id="13" name="Picture"/>
            <a:graphic>
              <a:graphicData uri="http://schemas.openxmlformats.org/drawingml/2006/picture">
                <pic:pic>
                  <pic:nvPicPr>
                    <pic:cNvPr descr="figures/fig1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1.</w:t>
      </w:r>
      <w:r>
        <w:t xml:space="preserve"> </w:t>
      </w:r>
      <w:r>
        <w:t xml:space="preserve">HeatScope as implemented. Modules shown are those that produce reported results. Weather retrieval exists in the codebase but yields a single city-point series and enters no model, so it is excluded.</w:t>
      </w:r>
    </w:p>
    <w:bookmarkEnd w:id="15"/>
    <w:bookmarkStart w:id="16" w:name="b.-pre-processing-and-grid-construction"/>
    <w:p>
      <w:pPr>
        <w:pStyle w:val="Heading2"/>
      </w:pPr>
      <w:r>
        <w:t xml:space="preserve">B. Pre-processing and grid construction</w:t>
      </w:r>
    </w:p>
    <w:p>
      <w:pPr>
        <w:pStyle w:val="FirstParagraph"/>
      </w:pPr>
      <w:r>
        <w:t xml:space="preserve">A single Landsat 8 Collection 2 Level-2 scene is retrieved from STAC: collection</w:t>
      </w:r>
      <w:r>
        <w:t xml:space="preserve"> </w:t>
      </w:r>
      <w:r>
        <w:rPr>
          <w:rStyle w:val="VerbatimChar"/>
        </w:rPr>
        <w:t xml:space="preserve">landsat-c2-l2</w:t>
      </w:r>
      <w:r>
        <w:t xml:space="preserve">,</w:t>
      </w:r>
      <w:r>
        <w:t xml:space="preserve"> </w:t>
      </w:r>
      <w:r>
        <w:t xml:space="preserve">path 144, row 051, acquisition 2026-04-01 05:10:29 UTC, reported cloud cover 0.23%</w:t>
      </w:r>
      <w:r>
        <w:t xml:space="preserve"> </w:t>
      </w:r>
      <w:r>
        <w:t xml:space="preserve">(</w:t>
      </w:r>
      <w:r>
        <w:rPr>
          <w:rStyle w:val="VerbatimChar"/>
        </w:rPr>
        <w:t xml:space="preserve">LC08_L2SP_144051_20260401_02_T1</w:t>
      </w:r>
      <w:r>
        <w:t xml:space="preserve">). Assets</w:t>
      </w:r>
      <w:r>
        <w:t xml:space="preserve"> 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nir08</w:t>
      </w:r>
      <w:r>
        <w:t xml:space="preserve">,</w:t>
      </w:r>
      <w:r>
        <w:t xml:space="preserve"> </w:t>
      </w:r>
      <w:r>
        <w:rPr>
          <w:rStyle w:val="VerbatimChar"/>
        </w:rPr>
        <w:t xml:space="preserve">swir16</w:t>
      </w:r>
      <w:r>
        <w:t xml:space="preserve">,</w:t>
      </w:r>
      <w:r>
        <w:t xml:space="preserve"> </w:t>
      </w:r>
      <w:r>
        <w:rPr>
          <w:rStyle w:val="VerbatimChar"/>
        </w:rPr>
        <w:t xml:space="preserve">lwir11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qa_pixel</w:t>
      </w:r>
      <w:r>
        <w:t xml:space="preserve"> </w:t>
      </w:r>
      <w:r>
        <w:t xml:space="preserve">are</w:t>
      </w:r>
      <w:r>
        <w:t xml:space="preserve"> </w:t>
      </w:r>
      <w:r>
        <w:t xml:space="preserve">used. Radiometric scaling follows the Collection 2 conventions [1], [2]: surface reflectance is</w:t>
      </w:r>
      <w:r>
        <w:t xml:space="preserve"> </w:t>
      </w:r>
      <w:r>
        <w:t xml:space="preserve">computed 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0.0000275</m:t>
        </m:r>
        <m:r>
          <m:rPr>
            <m:sty m:val="p"/>
          </m:rPr>
          <m:t>×</m:t>
        </m:r>
        <m:r>
          <m:t>D</m:t>
        </m:r>
        <m:r>
          <m:t>N</m:t>
        </m:r>
        <m:r>
          <m:rPr>
            <m:sty m:val="p"/>
          </m:rPr>
          <m:t>−</m:t>
        </m:r>
        <m:r>
          <m:t>0.2</m:t>
        </m:r>
      </m:oMath>
      <w:r>
        <w:t xml:space="preserve">, and land-surface temperature as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0.00341802</m:t>
        </m:r>
        <m:r>
          <m:rPr>
            <m:sty m:val="p"/>
          </m:rPr>
          <m:t>×</m:t>
        </m:r>
        <m:r>
          <m:t>D</m:t>
        </m:r>
        <m:r>
          <m:t>N</m:t>
        </m:r>
        <m:r>
          <m:rPr>
            <m:sty m:val="p"/>
          </m:rPr>
          <m:t>+</m:t>
        </m:r>
        <m:r>
          <m:t>149.0</m:t>
        </m:r>
        <m:r>
          <m:rPr>
            <m:sty m:val="p"/>
          </m:rPr>
          <m:t>−</m:t>
        </m:r>
        <m:r>
          <m:t>273.15</m:t>
        </m:r>
      </m:oMath>
      <w:r>
        <w:t xml:space="preserve">.</w:t>
      </w:r>
    </w:p>
    <w:p>
      <w:pPr>
        <w:pStyle w:val="BodyText"/>
      </w:pPr>
      <w:r>
        <w:t xml:space="preserve">Quality screening is applied per pixel. Pixels are masked where the</w:t>
      </w:r>
      <w:r>
        <w:t xml:space="preserve"> </w:t>
      </w:r>
      <w:r>
        <w:rPr>
          <w:rStyle w:val="VerbatimChar"/>
        </w:rPr>
        <w:t xml:space="preserve">QA_PIXEL</w:t>
      </w:r>
      <w:r>
        <w:t xml:space="preserve"> </w:t>
      </w:r>
      <w:r>
        <w:t xml:space="preserve">band flags fill,</w:t>
      </w:r>
      <w:r>
        <w:t xml:space="preserve"> </w:t>
      </w:r>
      <w:r>
        <w:t xml:space="preserve">dilated cloud, cirrus, cloud, cloud shadow, or snow; where any band’s digital number is</w:t>
      </w:r>
      <w:r>
        <w:t xml:space="preserve"> </w:t>
      </w:r>
      <w:r>
        <w:t xml:space="preserve">non-positive; where scaled reflectance 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 where LST falls outside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]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; or where any computed index falls outside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 resulting</w:t>
      </w:r>
      <w:r>
        <w:t xml:space="preserve"> </w:t>
      </w:r>
      <w:r>
        <w:t xml:space="preserve">masked scene contains 39,624,101 valid 30 m pixels over a 7541 × 7701 window in UTM zone 43N</w:t>
      </w:r>
      <w:r>
        <w:t xml:space="preserve"> </w:t>
      </w:r>
      <w:r>
        <w:t xml:space="preserve">(EPSG:32643).</w:t>
      </w:r>
    </w:p>
    <w:p>
      <w:pPr>
        <w:pStyle w:val="BodyText"/>
      </w:pPr>
      <w:r>
        <w:t xml:space="preserve">Three normalised indices are computed per pixel: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V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E</m:t>
              </m:r>
              <m:r>
                <m:t>D</m:t>
              </m:r>
            </m:num>
            <m:den>
              <m:r>
                <m:t>N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r>
                <m:t>D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W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I</m:t>
              </m:r>
              <m:r>
                <m:t>R</m:t>
              </m:r>
            </m:num>
            <m:den>
              <m:r>
                <m:t>S</m:t>
              </m:r>
              <m:r>
                <m:t>W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I</m:t>
              </m:r>
              <m:r>
                <m:t>R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W</m:t>
              </m:r>
              <m:r>
                <m:t>I</m:t>
              </m:r>
              <m:r>
                <m:t>R</m:t>
              </m:r>
            </m:num>
            <m:den>
              <m:r>
                <m:t>N</m:t>
              </m:r>
              <m:r>
                <m:t>I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W</m:t>
              </m:r>
              <m:r>
                <m:t>I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The analysis grid is a regular 250 m lattice in EPSG:32643 whose extent is derived from the</w:t>
      </w:r>
      <w:r>
        <w:t xml:space="preserve"> </w:t>
      </w:r>
      <w:r>
        <w:t xml:space="preserve">temperature raster, clipped to the study-region polygon, and renumbered. It contains 21,845 cells</w:t>
      </w:r>
      <w:r>
        <w:t xml:space="preserve"> </w:t>
      </w:r>
      <w:r>
        <w:t xml:space="preserve">totalling 1,348.25 km². Because cells are clipped to the study-region polygon, boundary cells have</w:t>
      </w:r>
      <w:r>
        <w:t xml:space="preserve"> </w:t>
      </w:r>
      <w:r>
        <w:t xml:space="preserve">reduced area; 30 cells have an area below 25% of nominal, the smallest being 10.54 m². These are</w:t>
      </w:r>
      <w:r>
        <w:t xml:space="preserve"> </w:t>
      </w:r>
      <w:r>
        <w:t xml:space="preserve">retained but flagged, and Section VIII discusses their influence.</w:t>
      </w:r>
    </w:p>
    <w:bookmarkEnd w:id="16"/>
    <w:bookmarkStart w:id="17" w:name="c.-feature-construction"/>
    <w:p>
      <w:pPr>
        <w:pStyle w:val="Heading2"/>
      </w:pPr>
      <w:r>
        <w:t xml:space="preserve">C. Feature construction</w:t>
      </w:r>
    </w:p>
    <w:p>
      <w:pPr>
        <w:pStyle w:val="FirstParagraph"/>
      </w:pPr>
      <w:r>
        <w:t xml:space="preserve">Eleven predictors are used in the base model. Spectral features are the per-cell mean and median</w:t>
      </w:r>
      <w:r>
        <w:t xml:space="preserve"> </w:t>
      </w:r>
      <w:r>
        <w:t xml:space="preserve">of NDVI, NDBI and NDMI, six statistics in total. Demographic and built-form features are population</w:t>
      </w:r>
      <w:r>
        <w:t xml:space="preserve"> </w:t>
      </w:r>
      <w:r>
        <w:t xml:space="preserve">count, population density, building count, building area and building coverage percentage, five</w:t>
      </w:r>
      <w:r>
        <w:t xml:space="preserve"> </w:t>
      </w:r>
      <w:r>
        <w:t xml:space="preserve">more. The within-cell 95th percentile of LST is the target and is never supplied to the model.</w:t>
      </w:r>
    </w:p>
    <w:p>
      <w:pPr>
        <w:pStyle w:val="BodyText"/>
      </w:pPr>
      <w:r>
        <w:t xml:space="preserve">Two implementation properties are consequential and are reported as findings rather than hidden.</w:t>
      </w:r>
      <w:r>
        <w:t xml:space="preserve"> </w:t>
      </w:r>
      <w:r>
        <w:t xml:space="preserve">First, the denominators in (2) and (3) are the same expression with the numerator sign reversed, so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I</m:t>
        </m:r>
      </m:oMath>
      <w:r>
        <w:t xml:space="preserve"> </w:t>
      </w:r>
      <w:r>
        <w:t xml:space="preserve">exactly for every pixel. We verified this numerically: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over all 39,624,101 valid pixels, and the Spearman</w:t>
      </w:r>
      <w:r>
        <w:t xml:space="preserve"> </w:t>
      </w:r>
      <w:r>
        <w:t xml:space="preserve">correlation between the two per-cell means is exactly</w:t>
      </w:r>
      <w:r>
        <w:t xml:space="preserve"> </w:t>
      </w:r>
      <m:oMath>
        <m:r>
          <m:rPr>
            <m:sty m:val="p"/>
          </m:rPr>
          <m:t>−</m:t>
        </m:r>
        <m:r>
          <m:t>1.0000</m:t>
        </m:r>
      </m:oMath>
      <w:r>
        <w:t xml:space="preserve">. The eleven-feature set therefore</w:t>
      </w:r>
      <w:r>
        <w:t xml:space="preserve"> </w:t>
      </w:r>
      <w:r>
        <w:t xml:space="preserve">contains one redundant pair, and the reduced five-feature set used in the ablation removes NDBI.</w:t>
      </w:r>
      <w:r>
        <w:t xml:space="preserve"> </w:t>
      </w:r>
      <w:r>
        <w:t xml:space="preserve">Second, population is aggregated from the 100 m population raster by centre-in-cell selection with</w:t>
      </w:r>
      <w:r>
        <w:t xml:space="preserve"> </w:t>
      </w:r>
      <w:r>
        <w:t xml:space="preserve">no proportional-area weighting, so cells straddling raster edges can be miscounted by up to one raster</w:t>
      </w:r>
      <w:r>
        <w:t xml:space="preserve"> </w:t>
      </w:r>
      <w:r>
        <w:t xml:space="preserve">pixel.</w:t>
      </w:r>
    </w:p>
    <w:bookmarkEnd w:id="17"/>
    <w:bookmarkStart w:id="18" w:name="d.-neighbourhood-context-features"/>
    <w:p>
      <w:pPr>
        <w:pStyle w:val="Heading2"/>
      </w:pPr>
      <w:r>
        <w:t xml:space="preserve">D. Neighbourhood context features</w:t>
      </w:r>
    </w:p>
    <w:p>
      <w:pPr>
        <w:pStyle w:val="FirstParagraph"/>
      </w:pPr>
      <w:r>
        <w:t xml:space="preserve">For each of four features — NDVI, NDMI, population density and building coverage — the mean over</w:t>
      </w:r>
      <w:r>
        <w:t xml:space="preserve"> </w:t>
      </w:r>
      <w:r>
        <w:t xml:space="preserve">queen-contiguous neighbours is computed, excluding the focal cell itself. Queen adjacency is</w:t>
      </w:r>
      <w:r>
        <w:t xml:space="preserve"> </w:t>
      </w:r>
      <w:r>
        <w:t xml:space="preserve">established by a spatial-index candidate query followed by an exact touches-or-intersects test.</w:t>
      </w:r>
      <w:r>
        <w:t xml:space="preserve"> </w:t>
      </w:r>
      <w:r>
        <w:t xml:space="preserve">Excluding the focal cell guarantees that no feature value can enter the feature vector that describes</w:t>
      </w:r>
      <w:r>
        <w:t xml:space="preserve"> </w:t>
      </w:r>
      <w:r>
        <w:t xml:space="preserve">it. Four context columns are carried forward; local-contrast and neighbourhood-standard-deviation</w:t>
      </w:r>
      <w:r>
        <w:t xml:space="preserve"> </w:t>
      </w:r>
      <w:r>
        <w:t xml:space="preserve">columns are computed by the same routine but are not consumed downstream.</w:t>
      </w:r>
    </w:p>
    <w:bookmarkEnd w:id="18"/>
    <w:bookmarkStart w:id="19" w:name="e.-heat-vulnerability-layer"/>
    <w:p>
      <w:pPr>
        <w:pStyle w:val="Heading2"/>
      </w:pPr>
      <w:r>
        <w:t xml:space="preserve">E. Heat vulnerability layer</w:t>
      </w:r>
    </w:p>
    <w:p>
      <w:pPr>
        <w:pStyle w:val="FirstParagraph"/>
      </w:pPr>
      <w:r>
        <w:t xml:space="preserve">A composite index is computed to support descriptive mapping and, more importantly, to supply the</w:t>
      </w:r>
      <w:r>
        <w:t xml:space="preserve"> </w:t>
      </w:r>
      <w:r>
        <w:t xml:space="preserve">structural-vulnerability term used downstream. Each component is normalised by clipping to its 1st</w:t>
      </w:r>
      <w:r>
        <w:t xml:space="preserve"> </w:t>
      </w:r>
      <w:r>
        <w:t xml:space="preserve">and 99th percentiles and rescaling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An exposure score combines normalised mean LST (0.50),</w:t>
      </w:r>
      <w:r>
        <w:t xml:space="preserve"> </w:t>
      </w:r>
      <w:r>
        <w:t xml:space="preserve">normalised p95 LST (0.30) and normalised mean NDBI (0.20). A capacity score combines normalised mean</w:t>
      </w:r>
      <w:r>
        <w:t xml:space="preserve"> </w:t>
      </w:r>
      <w:r>
        <w:t xml:space="preserve">NDVI (0.45), normalised mean NDMI (0.35) and a normalised built-form deficit (0.20). A sensitivity</w:t>
      </w:r>
      <w:r>
        <w:t xml:space="preserve"> </w:t>
      </w:r>
      <w:r>
        <w:t xml:space="preserve">score is the normalised log population density. The index is the product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)</m:t>
        </m:r>
      </m:oMath>
      <w:r>
        <w:t xml:space="preserve">, rescaled, ranked, and</w:t>
      </w:r>
      <w:r>
        <w:t xml:space="preserve"> </w:t>
      </w:r>
      <w:r>
        <w:t xml:space="preserve">cut into quintile categories. These weights are expert-elicited and are not validated; Section VIII</w:t>
      </w:r>
      <w:r>
        <w:t xml:space="preserve"> </w:t>
      </w:r>
      <w:r>
        <w:t xml:space="preserve">states the consequences.</w:t>
      </w:r>
    </w:p>
    <w:bookmarkEnd w:id="19"/>
    <w:bookmarkStart w:id="20" w:name="f.-attribution"/>
    <w:p>
      <w:pPr>
        <w:pStyle w:val="Heading2"/>
      </w:pPr>
      <w:r>
        <w:t xml:space="preserve">F. Attribution</w:t>
      </w:r>
    </w:p>
    <w:p>
      <w:pPr>
        <w:pStyle w:val="FirstParagraph"/>
      </w:pPr>
      <w:r>
        <w:t xml:space="preserve">TreeSHAP [28], [29] is computed for the nine-feature context model over 5,000 cells stratified by</w:t>
      </w:r>
      <w:r>
        <w:t xml:space="preserve"> </w:t>
      </w:r>
      <w:r>
        <w:t xml:space="preserve">target quantile. Because the explainer uses interventional perturbation estimated from a 100-row</w:t>
      </w:r>
      <w:r>
        <w:t xml:space="preserve"> </w:t>
      </w:r>
      <w:r>
        <w:t xml:space="preserve">background sample, additivity is approximate; the measured discrepancy between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ϕ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and the model prediction is reported in Section VI-C. Attribution</w:t>
      </w:r>
      <w:r>
        <w:t xml:space="preserve"> </w:t>
      </w:r>
      <w:r>
        <w:t xml:space="preserve">values are used twice: as a diagnostic of which predictors the model relies on, and as input to the</w:t>
      </w:r>
      <w:r>
        <w:t xml:space="preserve"> </w:t>
      </w:r>
      <w:r>
        <w:t xml:space="preserve">priority construction described next.</w:t>
      </w:r>
    </w:p>
    <w:bookmarkEnd w:id="20"/>
    <w:bookmarkStart w:id="21" w:name="g.-priority-and-intervention-benefit"/>
    <w:p>
      <w:pPr>
        <w:pStyle w:val="Heading2"/>
      </w:pPr>
      <w:r>
        <w:t xml:space="preserve">G. Priority and intervention benefit</w:t>
      </w:r>
    </w:p>
    <w:p>
      <w:pPr>
        <w:pStyle w:val="FirstParagraph"/>
      </w:pPr>
      <w:r>
        <w:t xml:space="preserve">The priority construction is deliberately retrospective-free. Exposure enters only through</w:t>
      </w:r>
      <w:r>
        <w:t xml:space="preserve"> </w:t>
      </w:r>
      <w:r>
        <w:t xml:space="preserve">out-of-fold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LST; the observed temperature is never used. A risk term combines the</w:t>
      </w:r>
      <w:r>
        <w:t xml:space="preserve"> </w:t>
      </w:r>
      <w:r>
        <w:t xml:space="preserve">prediction with an uncertainty half-width, and a structural-vulnerability term combines normalised</w:t>
      </w:r>
      <w:r>
        <w:t xml:space="preserve"> </w:t>
      </w:r>
      <w:r>
        <w:t xml:space="preserve">log population density with the built-form capacity score. The operational priority is a weighted</w:t>
      </w:r>
      <w:r>
        <w:t xml:space="preserve"> </w:t>
      </w:r>
      <w:r>
        <w:t xml:space="preserve">blend of the normalised risk term and the structural-vulnerability term, with cells in the top 30% of</w:t>
      </w:r>
      <w:r>
        <w:t xml:space="preserve"> </w:t>
      </w:r>
      <w:r>
        <w:t xml:space="preserve">structural vulnerability flagged as equity-priority cells.</w:t>
      </w:r>
    </w:p>
    <w:p>
      <w:pPr>
        <w:pStyle w:val="BodyText"/>
      </w:pPr>
      <w:r>
        <w:t xml:space="preserve">For each cell and each of four intervention types — urban tree, shade structure, cool roof and</w:t>
      </w:r>
      <w:r>
        <w:t xml:space="preserve"> </w:t>
      </w:r>
      <w:r>
        <w:t xml:space="preserve">cooling centre — an</w:t>
      </w:r>
      <w:r>
        <w:t xml:space="preserve"> </w:t>
      </w:r>
      <w:r>
        <w:rPr>
          <w:i/>
          <w:iCs/>
        </w:rPr>
        <w:t xml:space="preserve">opportunity</w:t>
      </w:r>
      <w:r>
        <w:t xml:space="preserve"> </w:t>
      </w:r>
      <w:r>
        <w:t xml:space="preserve">term expresses physical or demographic suitability, computed</w:t>
      </w:r>
      <w:r>
        <w:t xml:space="preserve"> </w:t>
      </w:r>
      <w:r>
        <w:t xml:space="preserve">exclusively from remotely sensed and demographic quantities so that the benefit model does not</w:t>
      </w:r>
      <w:r>
        <w:t xml:space="preserve"> </w:t>
      </w:r>
      <w:r>
        <w:t xml:space="preserve">circularly consume the target. A need term combines the risk and structural-vulnerability terms. The</w:t>
      </w:r>
      <w:r>
        <w:t xml:space="preserve"> </w:t>
      </w:r>
      <w:r>
        <w:t xml:space="preserve">per-cell benefit for intervention type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with scenario parameters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unit costs given in Table V. One property of (4)</w:t>
      </w:r>
      <w:r>
        <w:t xml:space="preserve"> </w:t>
      </w:r>
      <w:r>
        <w:t xml:space="preserve">deserves emphasis because it constrains what can be claimed: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cell-invariant constant</w:t>
      </w:r>
      <w:r>
        <w:t xml:space="preserve"> </w:t>
      </w:r>
      <w:r>
        <w:t xml:space="preserve">per intervention type, so it multiplies every cell identically and</w:t>
      </w:r>
      <w:r>
        <w:t xml:space="preserve"> </w:t>
      </w:r>
      <w:r>
        <w:t xml:space="preserve">therefore cannot alter any per-cell ranking. Its only influence is through the cost–benefit</w:t>
      </w:r>
      <w:r>
        <w:t xml:space="preserve"> </w:t>
      </w:r>
      <w:r>
        <w:t xml:space="preserve">trade-off inside the allocation model. Any statement that one intervention is preferable to another</w:t>
      </w:r>
      <w:r>
        <w:t xml:space="preserve"> </w:t>
      </w:r>
      <w:r>
        <w:rPr>
          <w:i/>
          <w:iCs/>
        </w:rPr>
        <w:t xml:space="preserve">because of its effect coefficient</w:t>
      </w:r>
      <w:r>
        <w:t xml:space="preserve"> </w:t>
      </w:r>
      <w:r>
        <w:t xml:space="preserve">would be circular; Section VI-E.3 confirms this empirically.</w:t>
      </w:r>
    </w:p>
    <w:p>
      <w:pPr>
        <w:pStyle w:val="BodyText"/>
      </w:pPr>
      <w:r>
        <w:t xml:space="preserve">Eligibility gates restrict which cells each intervention may serve. Each gate is a conjunction of</w:t>
      </w:r>
      <w:r>
        <w:t xml:space="preserve"> </w:t>
      </w:r>
      <w:r>
        <w:t xml:space="preserve">in-sample median or quartile thresholds on NDVI, NDMI, building coverage, population density, risk</w:t>
      </w:r>
      <w:r>
        <w:t xml:space="preserve"> </w:t>
      </w:r>
      <w:r>
        <w:t xml:space="preserve">and structural vulnerability. Section VI-F discusses what this implies for the resulting eligibility</w:t>
      </w:r>
      <w:r>
        <w:t xml:space="preserve"> </w:t>
      </w:r>
      <w:r>
        <w:t xml:space="preserve">rate.</w:t>
      </w:r>
    </w:p>
    <w:bookmarkEnd w:id="21"/>
    <w:bookmarkStart w:id="22" w:name="h.-equity-constrained-allocation"/>
    <w:p>
      <w:pPr>
        <w:pStyle w:val="Heading2"/>
      </w:pPr>
      <w:r>
        <w:t xml:space="preserve">H. Equity-constrained allocation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that intervention type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assigned to cell</w:t>
      </w:r>
      <w:r>
        <w:t xml:space="preserve"> </w:t>
      </w:r>
      <m:oMath>
        <m:r>
          <m:t>i</m:t>
        </m:r>
      </m:oMath>
      <w:r>
        <w:t xml:space="preserve">. The</w:t>
      </w:r>
      <w:r>
        <w:t xml:space="preserve"> </w:t>
      </w:r>
      <w:r>
        <w:t xml:space="preserve">allocation model maximises total benefit subject to a per-cell single-intervention constraint, a</w:t>
      </w:r>
      <w:r>
        <w:t xml:space="preserve"> </w:t>
      </w:r>
      <w:r>
        <w:t xml:space="preserve">budget constraint, per-type capacity limits, and an equity floor: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t> 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α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∉</m:t>
              </m:r>
              <m:r>
                <m:rPr>
                  <m:scr m:val="script"/>
                  <m:sty m:val="p"/>
                </m:rP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is the equity-priority set and constraint (9) is equivalent to a floor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 share of benefit accruing to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. Solutions are obtained with HiGHS [40], [41] via</w:t>
      </w:r>
      <w:r>
        <w:t xml:space="preserve"> </w:t>
      </w:r>
      <w:r>
        <w:rPr>
          <w:rStyle w:val="VerbatimChar"/>
        </w:rPr>
        <w:t xml:space="preserve">scipy.optimize.milp</w:t>
      </w:r>
      <w:r>
        <w:t xml:space="preserve"> </w:t>
      </w:r>
      <w:r>
        <w:t xml:space="preserve">with a relative MIP gap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Two configurations are reported. In the</w:t>
      </w:r>
      <w:r>
        <w:t xml:space="preserve"> </w:t>
      </w:r>
      <w:r>
        <w:rPr>
          <w:b/>
          <w:bCs/>
        </w:rPr>
        <w:t xml:space="preserve">capacity-bound</w:t>
      </w:r>
      <w:r>
        <w:t xml:space="preserve"> </w:t>
      </w:r>
      <w:r>
        <w:t xml:space="preserve">configuration the budget is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  <m:r>
              <m:t>s</m:t>
            </m:r>
          </m:sub>
        </m:sSub>
        <m:acc>
          <m:accPr>
            <m:chr m:val="‾"/>
          </m:accPr>
          <m:e>
            <m:r>
              <m:t>c</m:t>
            </m:r>
          </m:e>
        </m:acc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the mean unit cost 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; capacities bind and the budget</w:t>
      </w:r>
      <w:r>
        <w:t xml:space="preserve"> </w:t>
      </w:r>
      <w:r>
        <w:t xml:space="preserve">does not. In the</w:t>
      </w:r>
      <w:r>
        <w:t xml:space="preserve"> </w:t>
      </w:r>
      <w:r>
        <w:rPr>
          <w:b/>
          <w:bCs/>
        </w:rPr>
        <w:t xml:space="preserve">budget-bound</w:t>
      </w:r>
      <w:r>
        <w:t xml:space="preserve"> </w:t>
      </w:r>
      <w:r>
        <w:t xml:space="preserve">configuration the budget is</w:t>
      </w:r>
      <w:r>
        <w:t xml:space="preserve"> </w:t>
      </w:r>
      <m:oMath>
        <m:r>
          <m:t>f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e>
        </m:nary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; the budget binds at utilisation 0.9999–1.0000 and capacities are</w:t>
      </w:r>
      <w:r>
        <w:t xml:space="preserve"> </w:t>
      </w:r>
      <w:r>
        <w:t xml:space="preserve">slack. Section VI-E reports both and states which constraint is active in each.</w:t>
      </w:r>
    </w:p>
    <w:bookmarkEnd w:id="22"/>
    <w:bookmarkStart w:id="23" w:name="i.-monte-carlo-sensitivity"/>
    <w:p>
      <w:pPr>
        <w:pStyle w:val="Heading2"/>
      </w:pPr>
      <w:r>
        <w:t xml:space="preserve">I. Monte Carlo sensitivity</w:t>
      </w:r>
    </w:p>
    <w:p>
      <w:pPr>
        <w:pStyle w:val="FirstParagraph"/>
      </w:pPr>
      <w:r>
        <w:t xml:space="preserve">Cost and effect coefficients are perturbed by uniform multiplicative factors on</w:t>
      </w:r>
      <w:r>
        <w:t xml:space="preserve"> </w:t>
      </w:r>
      <m:oMath>
        <m:r>
          <m:rPr>
            <m:sty m:val="p"/>
          </m:rPr>
          <m:t>[</m:t>
        </m:r>
        <m:r>
          <m:t>0.7</m:t>
        </m:r>
        <m:r>
          <m:rPr>
            <m:sty m:val="p"/>
          </m:rPr>
          <m:t>,</m:t>
        </m:r>
        <m:r>
          <m:t>1.3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capacities by factors on</w:t>
      </w:r>
      <w:r>
        <w:t xml:space="preserve"> </w:t>
      </w:r>
      <m:oMath>
        <m:r>
          <m:rPr>
            <m:sty m:val="p"/>
          </m:rPr>
          <m:t>[</m:t>
        </m:r>
        <m:r>
          <m:t>0.8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]</m:t>
        </m:r>
      </m:oMath>
      <w:r>
        <w:t xml:space="preserve">, with capacity ceilings rounded to integers and floored at one.</w:t>
      </w:r>
      <w:r>
        <w:t xml:space="preserve"> </w:t>
      </w:r>
      <w:r>
        <w:t xml:space="preserve">500 runs are executed: 100 selection-pipeline runs and 50 equity-pipeline runs, each evaluated across</w:t>
      </w:r>
      <w:r>
        <w:t xml:space="preserve"> </w:t>
      </w:r>
      <w:r>
        <w:t xml:space="preserve">multiple budget and equity settings. The random seed is fixed at 42.</w:t>
      </w:r>
    </w:p>
    <w:bookmarkEnd w:id="23"/>
    <w:bookmarkEnd w:id="24"/>
    <w:bookmarkStart w:id="28" w:name="iv.-study-area-and-data"/>
    <w:p>
      <w:pPr>
        <w:pStyle w:val="Heading1"/>
      </w:pPr>
      <w:r>
        <w:t xml:space="preserve">IV. Study Area and Data</w:t>
      </w:r>
    </w:p>
    <w:p>
      <w:pPr>
        <w:pStyle w:val="FirstParagraph"/>
      </w:pPr>
      <w:r>
        <w:t xml:space="preserve">The study region is a 0.33° × 0.34° bounding box (12.82–13.16° N, 77.45–77.78° E) enclosing the</w:t>
      </w:r>
      <w:r>
        <w:t xml:space="preserve"> </w:t>
      </w:r>
      <w:r>
        <w:t xml:space="preserve">Bengaluru metropolitan area in the Indian state of Karnataka, analysed on a 250 m grid of 21,845</w:t>
      </w:r>
      <w:r>
        <w:t xml:space="preserve"> </w:t>
      </w:r>
      <w:r>
        <w:t xml:space="preserve">cells covering 1,348.25 km². Of these, 21,815 carry a valid temperature target. The region contains</w:t>
      </w:r>
      <w:r>
        <w:t xml:space="preserve"> </w:t>
      </w:r>
      <w:r>
        <w:t xml:space="preserve">a gridded population of 7,458,314 persons, a mean density of 5,533 persons per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Bengaluru is an appropriate case for three reasons. It is among the larger and faster-growing Indian</w:t>
      </w:r>
      <w:r>
        <w:t xml:space="preserve"> </w:t>
      </w:r>
      <w:r>
        <w:t xml:space="preserve">metropolitan areas; LST–urban-growth relationships there are already documented [36], [37] and the</w:t>
      </w:r>
      <w:r>
        <w:t xml:space="preserve"> </w:t>
      </w:r>
      <w:r>
        <w:t xml:space="preserve">controlling biophysical factors identified [38]; and the tropical semi-arid setting means that</w:t>
      </w:r>
      <w:r>
        <w:t xml:space="preserve"> </w:t>
      </w:r>
      <w:r>
        <w:t xml:space="preserve">vegetation and moisture contrasts are strong, which is the regime in which the vegetation and</w:t>
      </w:r>
      <w:r>
        <w:t xml:space="preserve"> </w:t>
      </w:r>
      <w:r>
        <w:t xml:space="preserve">moisture indices carry the most signal.</w:t>
      </w:r>
    </w:p>
    <w:p>
      <w:pPr>
        <w:pStyle w:val="BodyText"/>
      </w:pPr>
      <w:r>
        <w:rPr>
          <w:b/>
          <w:bCs/>
        </w:rPr>
        <w:t xml:space="preserve">Table I. Data sources and characteristics.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Native resolution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temperature, surface reflectance</w:t>
            </w:r>
          </w:p>
        </w:tc>
        <w:tc>
          <w:tcPr/>
          <w:p>
            <w:pPr>
              <w:pStyle w:val="Compact"/>
            </w:pPr>
            <w:r>
              <w:t xml:space="preserve">Landsat 8 C2 L2, path 144 / row 051, 2026-04-01, cloud 0.23%</w:t>
            </w:r>
          </w:p>
        </w:tc>
        <w:tc>
          <w:tcPr/>
          <w:p>
            <w:pPr>
              <w:pStyle w:val="Compact"/>
            </w:pPr>
            <w:r>
              <w:t xml:space="preserve">30 m</w:t>
            </w:r>
          </w:p>
        </w:tc>
        <w:tc>
          <w:tcPr/>
          <w:p>
            <w:pPr>
              <w:pStyle w:val="Compact"/>
            </w:pPr>
            <w:r>
              <w:t xml:space="preserve">Target and spectral predictors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footprints</w:t>
            </w:r>
          </w:p>
        </w:tc>
        <w:tc>
          <w:tcPr/>
          <w:p>
            <w:pPr>
              <w:pStyle w:val="Compact"/>
            </w:pPr>
            <w:r>
              <w:t xml:space="preserve">Overture Maps Buildings theme, snapshot 2026-08-13, quadkey 123303312, ODbL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Count, area,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WorldPop 100 m gridded denominators [20]</w:t>
            </w:r>
          </w:p>
        </w:tc>
        <w:tc>
          <w:tcPr/>
          <w:p>
            <w:pPr>
              <w:pStyle w:val="Compact"/>
            </w:pPr>
            <w:r>
              <w:t xml:space="preserve">~100 m</w:t>
            </w:r>
          </w:p>
        </w:tc>
        <w:tc>
          <w:tcPr/>
          <w:p>
            <w:pPr>
              <w:pStyle w:val="Compact"/>
            </w:pPr>
            <w:r>
              <w:t xml:space="preserve">Count,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grid</w:t>
            </w:r>
          </w:p>
        </w:tc>
        <w:tc>
          <w:tcPr/>
          <w:p>
            <w:pPr>
              <w:pStyle w:val="Compact"/>
            </w:pPr>
            <w:r>
              <w:t xml:space="preserve">This work</w:t>
            </w:r>
          </w:p>
        </w:tc>
        <w:tc>
          <w:tcPr/>
          <w:p>
            <w:pPr>
              <w:pStyle w:val="Compact"/>
            </w:pPr>
            <w:r>
              <w:t xml:space="preserve">250 m</w:t>
            </w:r>
          </w:p>
        </w:tc>
        <w:tc>
          <w:tcPr/>
          <w:p>
            <w:pPr>
              <w:pStyle w:val="Compact"/>
            </w:pPr>
            <w:r>
              <w:t xml:space="preserve">Analysis unit</w:t>
            </w:r>
          </w:p>
        </w:tc>
      </w:tr>
    </w:tbl>
    <w:p>
      <w:pPr>
        <w:pStyle w:val="BodyText"/>
      </w:pPr>
      <w:r>
        <w:t xml:space="preserve">Note that the study region is a bounding box rather than an administrative boundary, and that the</w:t>
      </w:r>
      <w:r>
        <w:t xml:space="preserve"> </w:t>
      </w:r>
      <w:r>
        <w:t xml:space="preserve">building layer is a single quadkey tile of a global conflation product rather than a complete</w:t>
      </w:r>
      <w:r>
        <w:t xml:space="preserve"> </w:t>
      </w:r>
      <w:r>
        <w:t xml:space="preserve">extract.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Study area, prediction, residual and priority maps" title="" id="26" name="Picture"/>
            <a:graphic>
              <a:graphicData uri="http://schemas.openxmlformats.org/drawingml/2006/picture">
                <pic:pic>
                  <pic:nvPicPr>
                    <pic:cNvPr descr="figures/fig2_study_are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2.</w:t>
      </w:r>
      <w:r>
        <w:t xml:space="preserve"> </w:t>
      </w:r>
      <w:r>
        <w:t xml:space="preserve">Observed within-cell upper-tail LST, cross-validated prediction, prediction residual, and the operational priority index. The systematic warm residual over the urban core corresponds to the positive hottest-quintile bias quantified in Section VI-C.</w:t>
      </w:r>
    </w:p>
    <w:bookmarkEnd w:id="28"/>
    <w:bookmarkStart w:id="33" w:name="v.-experimental-design"/>
    <w:p>
      <w:pPr>
        <w:pStyle w:val="Heading1"/>
      </w:pPr>
      <w:r>
        <w:t xml:space="preserve">V. Experimental Design</w:t>
      </w:r>
    </w:p>
    <w:bookmarkStart w:id="29" w:name="a.-predictors-and-models"/>
    <w:p>
      <w:pPr>
        <w:pStyle w:val="Heading2"/>
      </w:pPr>
      <w:r>
        <w:t xml:space="preserve">A. Predictors and models</w:t>
      </w:r>
    </w:p>
    <w:p>
      <w:pPr>
        <w:pStyle w:val="FirstParagraph"/>
      </w:pPr>
      <w:r>
        <w:t xml:space="preserve">Five estimators are benchmarked under identical folds and identical predictors:</w:t>
      </w:r>
      <w:r>
        <w:t xml:space="preserve"> </w:t>
      </w:r>
      <w:r>
        <w:t xml:space="preserve">HistGradientBoostingRegressor (300 iterations, learning rate 0.05, 31 leaves, L2 1.0),</w:t>
      </w:r>
      <w:r>
        <w:t xml:space="preserve"> </w:t>
      </w:r>
      <w:r>
        <w:t xml:space="preserve">XGBRegressor (500 estimators, depth 6, learning rate 0.05, subsample 0.8, column subsample 0.8),</w:t>
      </w:r>
      <w:r>
        <w:t xml:space="preserve"> </w:t>
      </w:r>
      <w:r>
        <w:t xml:space="preserve">RandomForestRegressor (300 trees,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features, minimum leaf 2), ExtraTreesRegressor (300</w:t>
      </w:r>
      <w:r>
        <w:t xml:space="preserve"> </w:t>
      </w:r>
      <w:r>
        <w:t xml:space="preserve">trees, all features, minimum leaf 2), and a standardised linear regression. All stochastic components</w:t>
      </w:r>
      <w:r>
        <w:t xml:space="preserve"> </w:t>
      </w:r>
      <w:r>
        <w:t xml:space="preserve">use seed 42.</w:t>
      </w:r>
    </w:p>
    <w:p>
      <w:pPr>
        <w:pStyle w:val="BodyText"/>
      </w:pPr>
      <w:r>
        <w:t xml:space="preserve">Three feature sets are compared. The</w:t>
      </w:r>
      <w:r>
        <w:t xml:space="preserve"> </w:t>
      </w:r>
      <w:r>
        <w:rPr>
          <w:b/>
          <w:bCs/>
        </w:rPr>
        <w:t xml:space="preserve">11-feature</w:t>
      </w:r>
      <w:r>
        <w:t xml:space="preserve"> </w:t>
      </w:r>
      <w:r>
        <w:t xml:space="preserve">base set is the full predictor list above. The</w:t>
      </w:r>
      <w:r>
        <w:t xml:space="preserve"> </w:t>
      </w:r>
      <w:r>
        <w:rPr>
          <w:b/>
          <w:bCs/>
        </w:rPr>
        <w:t xml:space="preserve">5-feature</w:t>
      </w:r>
      <w:r>
        <w:t xml:space="preserve"> </w:t>
      </w:r>
      <w:r>
        <w:t xml:space="preserve">reduced set drops NDVI median, both NDBI statistics, NDMI median, population count and</w:t>
      </w:r>
      <w:r>
        <w:t xml:space="preserve"> </w:t>
      </w:r>
      <w:r>
        <w:t xml:space="preserve">building area, retaining NDVI mean, NDMI mean, population density, building coverage percentage and</w:t>
      </w:r>
      <w:r>
        <w:t xml:space="preserve"> </w:t>
      </w:r>
      <w:r>
        <w:t xml:space="preserve">building count. The</w:t>
      </w:r>
      <w:r>
        <w:t xml:space="preserve"> </w:t>
      </w:r>
      <w:r>
        <w:rPr>
          <w:b/>
          <w:bCs/>
        </w:rPr>
        <w:t xml:space="preserve">9-feature context</w:t>
      </w:r>
      <w:r>
        <w:t xml:space="preserve"> </w:t>
      </w:r>
      <w:r>
        <w:t xml:space="preserve">set is that reduced set plus the four neighbourhood means,</w:t>
      </w:r>
      <w:r>
        <w:t xml:space="preserve"> </w:t>
      </w:r>
      <w:r>
        <w:t xml:space="preserve">and it is the model whose results the paper reports as primary.</w:t>
      </w:r>
    </w:p>
    <w:bookmarkEnd w:id="29"/>
    <w:bookmarkStart w:id="30" w:name="b.-spatially-structured-cross-validation"/>
    <w:p>
      <w:pPr>
        <w:pStyle w:val="Heading2"/>
      </w:pPr>
      <w:r>
        <w:t xml:space="preserve">B. Spatially structured cross-validation</w:t>
      </w:r>
    </w:p>
    <w:p>
      <w:pPr>
        <w:pStyle w:val="FirstParagraph"/>
      </w:pPr>
      <w:r>
        <w:t xml:space="preserve">Cells are assigned to 240 contiguous blocks of approximately 2.5 km using a row–column block</w:t>
      </w:r>
      <w:r>
        <w:t xml:space="preserve"> </w:t>
      </w:r>
      <w:r>
        <w:t xml:space="preserve">identifier, giving exactly 48 blocks per fold. Five-fold grouped cross-validation holds out whole</w:t>
      </w:r>
      <w:r>
        <w:t xml:space="preserve"> </w:t>
      </w:r>
      <w:r>
        <w:t xml:space="preserve">blocks, so that no training cell is spatially adjacent to a test cell through block membership. The</w:t>
      </w:r>
      <w:r>
        <w:t xml:space="preserve"> </w:t>
      </w:r>
      <w:r>
        <w:t xml:space="preserve">implementation asserts disjoint block sets and raises an error otherwise. Training sets contain</w:t>
      </w:r>
      <w:r>
        <w:t xml:space="preserve"> </w:t>
      </w:r>
      <w:r>
        <w:t xml:space="preserve">17,447–17,455 cells and test sets 4,360–4,368 cells.</w:t>
      </w:r>
    </w:p>
    <w:p>
      <w:pPr>
        <w:pStyle w:val="BodyText"/>
      </w:pPr>
      <w:r>
        <w:t xml:space="preserve">Because fold-to-fold variation is substantial relative to the differences between models, all</w:t>
      </w:r>
      <w:r>
        <w:t xml:space="preserve"> </w:t>
      </w:r>
      <w:r>
        <w:t xml:space="preserve">performance figures are reported as mean ± standard deviation over the five folds. The hottest-</w:t>
      </w:r>
      <w:r>
        <w:t xml:space="preserve"> </w:t>
      </w:r>
      <w:r>
        <w:t xml:space="preserve">quintile stratification is cut on the pooled target before cross-validation and is used only for</w:t>
      </w:r>
      <w:r>
        <w:t xml:space="preserve"> </w:t>
      </w:r>
      <w:r>
        <w:t xml:space="preserve">reporting, never as a feature; pooled quintile statistics are therefore reported, not per-fold</w:t>
      </w:r>
      <w:r>
        <w:t xml:space="preserve"> </w:t>
      </w:r>
      <w:r>
        <w:t xml:space="preserve">quintile statistics.</w:t>
      </w:r>
    </w:p>
    <w:bookmarkEnd w:id="30"/>
    <w:bookmarkStart w:id="31" w:name="c.-uncertainty-evaluation"/>
    <w:p>
      <w:pPr>
        <w:pStyle w:val="Heading2"/>
      </w:pPr>
      <w:r>
        <w:t xml:space="preserve">C. Uncertainty evaluation</w:t>
      </w:r>
    </w:p>
    <w:p>
      <w:pPr>
        <w:pStyle w:val="FirstParagraph"/>
      </w:pPr>
      <w:r>
        <w:t xml:space="preserve">For each held-out fold, the 90th and 95th percentiles of absolute residual are computed from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four folds and used as symmetric half-widths. This is fold-wise cross-fitting.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formal conformal validity: the quantiles are estimated by linear interpolation rather than by</w:t>
      </w:r>
      <w:r>
        <w:t xml:space="preserve"> </w:t>
      </w:r>
      <w:r>
        <w:t xml:space="preserve">the conformal index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 and the calibration residuals for a given fold</w:t>
      </w:r>
      <w:r>
        <w:t xml:space="preserve"> </w:t>
      </w:r>
      <w:r>
        <w:t xml:space="preserve">originate from models trained on folds that include it. Section VI-D reports what this scheme</w:t>
      </w:r>
      <w:r>
        <w:t xml:space="preserve"> </w:t>
      </w:r>
      <w:r>
        <w:t xml:space="preserve">actually achieves.</w:t>
      </w:r>
    </w:p>
    <w:bookmarkEnd w:id="31"/>
    <w:bookmarkStart w:id="32" w:name="d.-reproducibility-protocol"/>
    <w:p>
      <w:pPr>
        <w:pStyle w:val="Heading2"/>
      </w:pPr>
      <w:r>
        <w:t xml:space="preserve">D. Reproducibility protocol</w:t>
      </w:r>
    </w:p>
    <w:p>
      <w:pPr>
        <w:pStyle w:val="FirstParagraph"/>
      </w:pPr>
      <w:r>
        <w:t xml:space="preserve">Every module was re-executed from the committed code and compared against the pre-existing</w:t>
      </w:r>
      <w:r>
        <w:t xml:space="preserve"> </w:t>
      </w:r>
      <w:r>
        <w:t xml:space="preserve">artifacts. Base-model fold metrics agreed to within</w:t>
      </w:r>
      <w:r>
        <w:t xml:space="preserve"> </w:t>
      </w:r>
      <m:oMath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context-model metrics</w:t>
      </w:r>
      <w:r>
        <w:t xml:space="preserve"> </w:t>
      </w:r>
      <w:r>
        <w:t xml:space="preserve">agreed exactly; the SHAP importance table was byte-identical; both interval schemes reproduced their</w:t>
      </w:r>
      <w:r>
        <w:t xml:space="preserve"> </w:t>
      </w:r>
      <w:r>
        <w:t xml:space="preserve">reported coverage and width exactly. Separately, the predictions stored in the operational-priority</w:t>
      </w:r>
      <w:r>
        <w:t xml:space="preserve"> </w:t>
      </w:r>
      <w:r>
        <w:t xml:space="preserve">artifact were compared against the regenerated model output across all 21,815 cells, giving a</w:t>
      </w:r>
      <w:r>
        <w:t xml:space="preserve"> </w:t>
      </w:r>
      <w:r>
        <w:t xml:space="preserve">maximum absolute difference of exactly 0.0. Section VIII records the two reproducibility</w:t>
      </w:r>
      <w:r>
        <w:t xml:space="preserve"> </w:t>
      </w:r>
      <w:r>
        <w:t xml:space="preserve">limitations that this protocol exposed.</w:t>
      </w:r>
    </w:p>
    <w:bookmarkEnd w:id="32"/>
    <w:bookmarkEnd w:id="33"/>
    <w:bookmarkStart w:id="53" w:name="vi.-results"/>
    <w:p>
      <w:pPr>
        <w:pStyle w:val="Heading1"/>
      </w:pPr>
      <w:r>
        <w:t xml:space="preserve">VI. Results</w:t>
      </w:r>
    </w:p>
    <w:bookmarkStart w:id="37" w:name="a.-model-comparison"/>
    <w:p>
      <w:pPr>
        <w:pStyle w:val="Heading2"/>
      </w:pPr>
      <w:r>
        <w:t xml:space="preserve">A. Model comparison</w:t>
      </w:r>
    </w:p>
    <w:p>
      <w:pPr>
        <w:pStyle w:val="FirstParagraph"/>
      </w:pPr>
      <w:r>
        <w:rPr>
          <w:b/>
          <w:bCs/>
        </w:rPr>
        <w:t xml:space="preserve">Table II. Out-of-fold performance, 11-feature set, five block-grouped folds (mean ± SD).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 (°C)</w:t>
            </w:r>
          </w:p>
        </w:tc>
        <w:tc>
          <w:tcPr/>
          <w:p>
            <w:pPr>
              <w:pStyle w:val="Compact"/>
            </w:pPr>
            <w:r>
              <w:t xml:space="preserve">RMSE (°C)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1.213 ± 0.051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1.591 ± 0.070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0.636 ± 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1.215 ± 0.047</w:t>
            </w:r>
          </w:p>
        </w:tc>
        <w:tc>
          <w:tcPr/>
          <w:p>
            <w:pPr>
              <w:pStyle w:val="Compact"/>
            </w:pPr>
            <w:r>
              <w:t xml:space="preserve">1.595 ± 0.069</w:t>
            </w:r>
          </w:p>
        </w:tc>
        <w:tc>
          <w:tcPr/>
          <w:p>
            <w:pPr>
              <w:pStyle w:val="Compact"/>
            </w:pPr>
            <w:r>
              <w:t xml:space="preserve">0.634 ± 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1.218 ± 0.051</w:t>
            </w:r>
          </w:p>
        </w:tc>
        <w:tc>
          <w:tcPr/>
          <w:p>
            <w:pPr>
              <w:pStyle w:val="Compact"/>
            </w:pPr>
            <w:r>
              <w:t xml:space="preserve">1.596 ± 0.074</w:t>
            </w:r>
          </w:p>
        </w:tc>
        <w:tc>
          <w:tcPr/>
          <w:p>
            <w:pPr>
              <w:pStyle w:val="Compact"/>
            </w:pPr>
            <w:r>
              <w:t xml:space="preserve">0.633 ± 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</w:pPr>
            <w:r>
              <w:t xml:space="preserve">1.226 ± 0.054</w:t>
            </w:r>
          </w:p>
        </w:tc>
        <w:tc>
          <w:tcPr/>
          <w:p>
            <w:pPr>
              <w:pStyle w:val="Compact"/>
            </w:pPr>
            <w:r>
              <w:t xml:space="preserve">1.607 ± 0.076</w:t>
            </w:r>
          </w:p>
        </w:tc>
        <w:tc>
          <w:tcPr/>
          <w:p>
            <w:pPr>
              <w:pStyle w:val="Compact"/>
            </w:pPr>
            <w:r>
              <w:t xml:space="preserve">0.628 ± 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LinearRegression</w:t>
            </w:r>
          </w:p>
        </w:tc>
        <w:tc>
          <w:tcPr/>
          <w:p>
            <w:pPr>
              <w:pStyle w:val="Compact"/>
            </w:pPr>
            <w:r>
              <w:t xml:space="preserve">1.290 ± 0.068</w:t>
            </w:r>
          </w:p>
        </w:tc>
        <w:tc>
          <w:tcPr/>
          <w:p>
            <w:pPr>
              <w:pStyle w:val="Compact"/>
            </w:pPr>
            <w:r>
              <w:t xml:space="preserve">1.698 ± 0.089</w:t>
            </w:r>
          </w:p>
        </w:tc>
        <w:tc>
          <w:tcPr/>
          <w:p>
            <w:pPr>
              <w:pStyle w:val="Compact"/>
            </w:pPr>
            <w:r>
              <w:t xml:space="preserve">0.585 ± 0.054</w:t>
            </w:r>
          </w:p>
        </w:tc>
      </w:tr>
    </w:tbl>
    <w:p>
      <w:pPr>
        <w:pStyle w:val="BodyText"/>
      </w:pPr>
      <w:r>
        <w:t xml:space="preserve">Gradient boosting gives the best mean performance on all three metrics. The margin over the runner-up</w:t>
      </w:r>
      <w:r>
        <w:t xml:space="preserve"> </w:t>
      </w:r>
      <w:r>
        <w:t xml:space="preserve">is 0.002 °C in MAE, which is more than an order of magnitude smaller than the fold-to-fold standard</w:t>
      </w:r>
      <w:r>
        <w:t xml:space="preserve"> </w:t>
      </w:r>
      <w:r>
        <w:t xml:space="preserve">deviation of approximately 0.05 °C. We therefore describe the tree ensembles as performing</w:t>
      </w:r>
      <w:r>
        <w:t xml:space="preserve"> </w:t>
      </w:r>
      <w:r>
        <w:t xml:space="preserve">comparably, and note that this study is not powered to separate them. The linear model is</w:t>
      </w:r>
      <w:r>
        <w:t xml:space="preserve"> </w:t>
      </w:r>
      <w:r>
        <w:t xml:space="preserve">approximately 6% worse in MAE, which is the one comparison that survives the fold variability.</w:t>
      </w:r>
    </w:p>
    <w:p>
      <w:pPr>
        <w:pStyle w:val="BodyText"/>
      </w:pPr>
      <w:r>
        <w:drawing>
          <wp:inline>
            <wp:extent cx="5334000" cy="2324100"/>
            <wp:effectExtent b="0" l="0" r="0" t="0"/>
            <wp:docPr descr="Model comparison, feature ablation and quintile error" title="" id="35" name="Picture"/>
            <a:graphic>
              <a:graphicData uri="http://schemas.openxmlformats.org/drawingml/2006/picture">
                <pic:pic>
                  <pic:nvPicPr>
                    <pic:cNvPr descr="figures/fig3_model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3.</w:t>
      </w:r>
      <w:r>
        <w:t xml:space="preserve"> </w:t>
      </w:r>
      <w:r>
        <w:t xml:space="preserve">Model panels: (a) model comparison with fold dispersion, (b) feature ablation, and (c) hottest-quintile error and bias before and after adding neighbourhood context.</w:t>
      </w:r>
    </w:p>
    <w:bookmarkEnd w:id="37"/>
    <w:bookmarkStart w:id="38" w:name="b.-feature-audit-and-index-redundancy"/>
    <w:p>
      <w:pPr>
        <w:pStyle w:val="Heading2"/>
      </w:pPr>
      <w:r>
        <w:t xml:space="preserve">B. Feature audit and index redundancy</w:t>
      </w:r>
    </w:p>
    <w:p>
      <w:pPr>
        <w:pStyle w:val="FirstParagraph"/>
      </w:pPr>
      <w:r>
        <w:t xml:space="preserve">The per-cell means of NDBI and NDMI correlate at exactly</w:t>
      </w:r>
      <w:r>
        <w:t xml:space="preserve"> </w:t>
      </w:r>
      <m:oMath>
        <m:r>
          <m:rPr>
            <m:sty m:val="p"/>
          </m:rPr>
          <m:t>−</m:t>
        </m:r>
        <m:r>
          <m:t>1.0000</m:t>
        </m:r>
      </m:oMath>
      <w:r>
        <w:t xml:space="preserve">, and their univariate Spearman</w:t>
      </w:r>
      <w:r>
        <w:t xml:space="preserve"> </w:t>
      </w:r>
      <w:r>
        <w:t xml:space="preserve">association with the target is identical at 0.7416 and</w:t>
      </w:r>
      <w:r>
        <w:t xml:space="preserve"> </w:t>
      </w:r>
      <m:oMath>
        <m:r>
          <m:rPr>
            <m:sty m:val="p"/>
          </m:rPr>
          <m:t>−</m:t>
        </m:r>
        <m:r>
          <m:t>0.7416</m:t>
        </m:r>
      </m:oMath>
      <w:r>
        <w:t xml:space="preserve"> </w:t>
      </w:r>
      <w:r>
        <w:t xml:space="preserve">respectively. This is an algebraic</w:t>
      </w:r>
      <w:r>
        <w:t xml:space="preserve"> </w:t>
      </w:r>
      <w:r>
        <w:t xml:space="preserve">identity of definitions (1)–(3), not an empirical finding, and it means the apparent contribution of</w:t>
      </w:r>
      <w:r>
        <w:t xml:space="preserve"> </w:t>
      </w:r>
      <w:r>
        <w:t xml:space="preserve">two indices in the 11-feature base set is one. The remaining redundancy structure is milder but non-trivial: NDVI</w:t>
      </w:r>
      <w:r>
        <w:t xml:space="preserve"> </w:t>
      </w:r>
      <w:r>
        <w:t xml:space="preserve">mean and median correlate at 0.9793, building coverage and building area at 0.9990, and population</w:t>
      </w:r>
      <w:r>
        <w:t xml:space="preserve"> </w:t>
      </w:r>
      <w:r>
        <w:t xml:space="preserve">count and density at 0.9985.</w:t>
      </w:r>
    </w:p>
    <w:bookmarkEnd w:id="38"/>
    <w:bookmarkStart w:id="45" w:name="Xbfc973ee8c15771b88088484cf6f3f6211b03ce"/>
    <w:p>
      <w:pPr>
        <w:pStyle w:val="Heading2"/>
      </w:pPr>
      <w:r>
        <w:t xml:space="preserve">C. Neighbourhood context and error balance</w:t>
      </w:r>
    </w:p>
    <w:p>
      <w:pPr>
        <w:pStyle w:val="FirstParagraph"/>
      </w:pPr>
      <w:r>
        <w:t xml:space="preserve">Adding four neighbourhood-mean features improves every reported metric, and improves the</w:t>
      </w:r>
      <w:r>
        <w:t xml:space="preserve"> </w:t>
      </w:r>
      <w:r>
        <w:rPr>
          <w:i/>
          <w:iCs/>
        </w:rPr>
        <w:t xml:space="preserve">hottest</w:t>
      </w:r>
      <w:r>
        <w:rPr>
          <w:i/>
          <w:iCs/>
        </w:rPr>
        <w:t xml:space="preserve"> </w:t>
      </w:r>
      <w:r>
        <w:rPr>
          <w:i/>
          <w:iCs/>
        </w:rPr>
        <w:t xml:space="preserve">cells</w:t>
      </w:r>
      <w:r>
        <w:t xml:space="preserve"> </w:t>
      </w:r>
      <w:r>
        <w:t xml:space="preserve">more than the average cell.</w:t>
      </w:r>
    </w:p>
    <w:p>
      <w:pPr>
        <w:pStyle w:val="BodyText"/>
      </w:pPr>
      <w:r>
        <w:rPr>
          <w:b/>
          <w:bCs/>
        </w:rPr>
        <w:t xml:space="preserve">Table III. Feature-set ablation (five block-grouped folds).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set</w:t>
            </w:r>
          </w:p>
        </w:tc>
        <w:tc>
          <w:tcPr/>
          <w:p>
            <w:pPr>
              <w:pStyle w:val="Compact"/>
            </w:pPr>
            <w:r>
              <w:t xml:space="preserve">MAE (°C)</w:t>
            </w:r>
          </w:p>
        </w:tc>
        <w:tc>
          <w:tcPr/>
          <w:p>
            <w:pPr>
              <w:pStyle w:val="Compact"/>
            </w:pPr>
            <w:r>
              <w:t xml:space="preserve">RMSE (°C)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Q5 MAE (°C)</w:t>
            </w:r>
          </w:p>
        </w:tc>
        <w:tc>
          <w:tcPr/>
          <w:p>
            <w:pPr>
              <w:pStyle w:val="Compact"/>
            </w:pPr>
            <w:r>
              <w:t xml:space="preserve">Q5 bias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(5)</w:t>
            </w:r>
          </w:p>
        </w:tc>
        <w:tc>
          <w:tcPr/>
          <w:p>
            <w:pPr>
              <w:pStyle w:val="Compact"/>
            </w:pPr>
            <w:r>
              <w:t xml:space="preserve">1.2241</w:t>
            </w:r>
          </w:p>
        </w:tc>
        <w:tc>
          <w:tcPr/>
          <w:p>
            <w:pPr>
              <w:pStyle w:val="Compact"/>
            </w:pPr>
            <w:r>
              <w:t xml:space="preserve">1.6060</w:t>
            </w:r>
          </w:p>
        </w:tc>
        <w:tc>
          <w:tcPr/>
          <w:p>
            <w:pPr>
              <w:pStyle w:val="Compact"/>
            </w:pPr>
            <w:r>
              <w:t xml:space="preserve">0.6286</w:t>
            </w:r>
          </w:p>
        </w:tc>
        <w:tc>
          <w:tcPr/>
          <w:p>
            <w:pPr>
              <w:pStyle w:val="Compact"/>
            </w:pPr>
            <w:r>
              <w:t xml:space="preserve">1.7198</w:t>
            </w:r>
          </w:p>
        </w:tc>
        <w:tc>
          <w:tcPr/>
          <w:p>
            <w:pPr>
              <w:pStyle w:val="Compact"/>
            </w:pPr>
            <w:r>
              <w:t xml:space="preserve">+1.5005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(9)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1.1738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1.5478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1.6305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+1.3792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−4.11%</w:t>
            </w:r>
          </w:p>
        </w:tc>
        <w:tc>
          <w:tcPr/>
          <w:p>
            <w:pPr>
              <w:pStyle w:val="Compact"/>
            </w:pPr>
            <w:r>
              <w:t xml:space="preserve">−3.62%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−5.19%</w:t>
            </w:r>
          </w:p>
        </w:tc>
        <w:tc>
          <w:tcPr/>
          <w:p>
            <w:pPr>
              <w:pStyle w:val="Compact"/>
            </w:pPr>
            <w:r>
              <w:t xml:space="preserve">−8.08%</w:t>
            </w:r>
          </w:p>
        </w:tc>
      </w:tr>
    </w:tbl>
    <w:p>
      <w:pPr>
        <w:pStyle w:val="BodyText"/>
      </w:pPr>
      <w:r>
        <w:t xml:space="preserve">The 3.62% RMSE reduction and +0.026 R² gain are modest but consistent. The more informative result</w:t>
      </w:r>
      <w:r>
        <w:t xml:space="preserve"> </w:t>
      </w:r>
      <w:r>
        <w:t xml:space="preserve">is the bias column. In the hottest quintile the mean observed value exceeds the mean prediction by</w:t>
      </w:r>
      <w:r>
        <w:t xml:space="preserve"> </w:t>
      </w:r>
      <w:r>
        <w:t xml:space="preserve">1.38 °C — a systematic under-prediction of precisely the cells a heat-adaptation programme would target</w:t>
      </w:r>
      <w:r>
        <w:t xml:space="preserve"> </w:t>
      </w:r>
      <w:r>
        <w:t xml:space="preserve">first. Neighbourhood context reduces this bias by 8.08%, which is directionally encouraging but does</w:t>
      </w:r>
      <w:r>
        <w:t xml:space="preserve"> </w:t>
      </w:r>
      <w:r>
        <w:t xml:space="preserve">not eliminate it. We regard the residual bias, not the headline MAE, as the principal modelling</w:t>
      </w:r>
      <w:r>
        <w:t xml:space="preserve"> </w:t>
      </w:r>
      <w:r>
        <w:t xml:space="preserve">finding of this study.</w:t>
      </w:r>
    </w:p>
    <w:p>
      <w:pPr>
        <w:pStyle w:val="BodyText"/>
      </w:pPr>
      <w:r>
        <w:t xml:space="preserve">Attribution for the context model (Fig. 4) shows that the four neighbourhood features jointly account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45.42%</w:t>
      </w:r>
      <w:r>
        <w:t xml:space="preserve"> </w:t>
      </w:r>
      <w:r>
        <w:t xml:space="preserve">of total attribution — more than the four focal features combined (54.58%). NDMI alone,</w:t>
      </w:r>
      <w:r>
        <w:t xml:space="preserve"> </w:t>
      </w:r>
      <w:r>
        <w:t xml:space="preserve">summing focal and neighbourhood contributions, accounts for 49.38%. This is the quantitative basis for</w:t>
      </w:r>
      <w:r>
        <w:t xml:space="preserve"> </w:t>
      </w:r>
      <w:r>
        <w:t xml:space="preserve">propagating attribution into the downstream benefit model rather than presenting it only as a</w:t>
      </w:r>
      <w:r>
        <w:t xml:space="preserve"> </w:t>
      </w:r>
      <w:r>
        <w:t xml:space="preserve">diagnostic.</w:t>
      </w:r>
    </w:p>
    <w:p>
      <w:pPr>
        <w:pStyle w:val="BodyText"/>
      </w:pPr>
      <w:r>
        <w:drawing>
          <wp:inline>
            <wp:extent cx="5334000" cy="2324100"/>
            <wp:effectExtent b="0" l="0" r="0" t="0"/>
            <wp:docPr descr="TreeSHAP global attribution" title="" id="40" name="Picture"/>
            <a:graphic>
              <a:graphicData uri="http://schemas.openxmlformats.org/drawingml/2006/picture">
                <pic:pic>
                  <pic:nvPicPr>
                    <pic:cNvPr descr="figures/fig4_sha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4.</w:t>
      </w:r>
      <w:r>
        <w:t xml:space="preserve"> </w:t>
      </w:r>
      <w:r>
        <w:t xml:space="preserve">TreeSHAP global attribution for the context model, split into focal-cell and neighbourhood contributions. Attributions are associational model decompositions, not causal effects.</w:t>
      </w:r>
    </w:p>
    <w:p>
      <w:pPr>
        <w:pStyle w:val="BodyText"/>
      </w:pPr>
      <w:r>
        <w:t xml:space="preserve">We also report an additivity diagnostic, since the explainer uses interventional perturbation</w:t>
      </w:r>
      <w:r>
        <w:t xml:space="preserve"> </w:t>
      </w:r>
      <w:r>
        <w:t xml:space="preserve">estimated from a 100-row background sample and therefore satisfies additivity only approximately. The</w:t>
      </w:r>
      <w:r>
        <w:t xml:space="preserve"> </w:t>
      </w:r>
      <w:r>
        <w:t xml:space="preserve">absolute discrepancy between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ϕ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and the model prediction has median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°C and mean</w:t>
      </w:r>
      <w:r>
        <w:t xml:space="preserve"> </w:t>
      </w:r>
      <m:oMath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°C, but a maximum of 1.09 °C; 19 of 5,000</w:t>
      </w:r>
      <w:r>
        <w:t xml:space="preserve"> </w:t>
      </w:r>
      <w:r>
        <w:t xml:space="preserve">evaluated cells (0.38%) exceed 0.01 °C. For the worst affected cell this residual is comparable to a</w:t>
      </w:r>
      <w:r>
        <w:t xml:space="preserve"> </w:t>
      </w:r>
      <w:r>
        <w:t xml:space="preserve">full model error, so we report the distribution rather than a summary statistic alone.</w:t>
      </w:r>
    </w:p>
    <w:p>
      <w:pPr>
        <w:pStyle w:val="BodyText"/>
      </w:pPr>
      <w:r>
        <w:drawing>
          <wp:inline>
            <wp:extent cx="5334000" cy="2324100"/>
            <wp:effectExtent b="0" l="0" r="0" t="0"/>
            <wp:docPr descr="Prediction interval coverage by quintile" title="" id="43" name="Picture"/>
            <a:graphic>
              <a:graphicData uri="http://schemas.openxmlformats.org/drawingml/2006/picture">
                <pic:pic>
                  <pic:nvPicPr>
                    <pic:cNvPr descr="figures/fig5_uncertain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5.</w:t>
      </w:r>
      <w:r>
        <w:t xml:space="preserve"> </w:t>
      </w:r>
      <w:r>
        <w:t xml:space="preserve">Cross-fitted 95% prediction intervals: empirical coverage and width by observed temperature quintile. Overall coverage is 94.94%.</w:t>
      </w:r>
    </w:p>
    <w:bookmarkEnd w:id="45"/>
    <w:bookmarkStart w:id="46" w:name="d.-predictive-uncertainty"/>
    <w:p>
      <w:pPr>
        <w:pStyle w:val="Heading2"/>
      </w:pPr>
      <w:r>
        <w:t xml:space="preserve">D. Predictive uncertainty</w:t>
      </w:r>
    </w:p>
    <w:p>
      <w:pPr>
        <w:pStyle w:val="FirstParagraph"/>
      </w:pPr>
      <w:r>
        <w:t xml:space="preserve">Cross-fitted intervals achieve</w:t>
      </w:r>
      <w:r>
        <w:t xml:space="preserve"> </w:t>
      </w:r>
      <w:r>
        <w:rPr>
          <w:b/>
          <w:bCs/>
        </w:rPr>
        <w:t xml:space="preserve">94.94%</w:t>
      </w:r>
      <w:r>
        <w:t xml:space="preserve"> </w:t>
      </w:r>
      <w:r>
        <w:t xml:space="preserve">overall coverage at a mean width of</w:t>
      </w:r>
      <w:r>
        <w:t xml:space="preserve"> </w:t>
      </w:r>
      <w:r>
        <w:rPr>
          <w:b/>
          <w:bCs/>
        </w:rPr>
        <w:t xml:space="preserve">6.14 °C</w:t>
      </w:r>
      <w:r>
        <w:t xml:space="preserve"> </w:t>
      </w:r>
      <w:r>
        <w:t xml:space="preserve">(Table IV).</w:t>
      </w:r>
      <w:r>
        <w:t xml:space="preserve"> </w:t>
      </w:r>
      <w:r>
        <w:t xml:space="preserve">Width is effectively constant across quintiles (6.134–6.138 °C), which is a direct consequence of the</w:t>
      </w:r>
      <w:r>
        <w:t xml:space="preserve"> </w:t>
      </w:r>
      <w:r>
        <w:t xml:space="preserve">symmetric, quantile-based construction: it cannot adapt to heteroscedasticity. The consequence is</w:t>
      </w:r>
      <w:r>
        <w:t xml:space="preserve"> </w:t>
      </w:r>
      <w:r>
        <w:t xml:space="preserve">visible in coverage, which ranges from 98.07% in the third quintile to</w:t>
      </w:r>
      <w:r>
        <w:t xml:space="preserve"> </w:t>
      </w:r>
      <w:r>
        <w:rPr>
          <w:b/>
          <w:bCs/>
        </w:rPr>
        <w:t xml:space="preserve">87.85% in the hottest</w:t>
      </w:r>
      <w:r>
        <w:rPr>
          <w:b/>
          <w:bCs/>
        </w:rPr>
        <w:t xml:space="preserve"> </w:t>
      </w:r>
      <w:r>
        <w:rPr>
          <w:b/>
          <w:bCs/>
        </w:rPr>
        <w:t xml:space="preserve">quintile</w:t>
      </w:r>
      <w:r>
        <w:t xml:space="preserve">. The pooled number is therefore close to nominal for a reason that does not hold in the</w:t>
      </w:r>
      <w:r>
        <w:t xml:space="preserve"> </w:t>
      </w:r>
      <w:r>
        <w:t xml:space="preserve">part of the distribution that matters most: the model is over-confident where it is warmest, and the</w:t>
      </w:r>
      <w:r>
        <w:t xml:space="preserve"> </w:t>
      </w:r>
      <w:r>
        <w:t xml:space="preserve">residual bias documented in Section VI-C is the direct cause. A heteroscedastic scheme was also</w:t>
      </w:r>
      <w:r>
        <w:t xml:space="preserve"> </w:t>
      </w:r>
      <w:r>
        <w:t xml:space="preserve">implemented, but its calibration factor is estimated on the same cells whose coverage it then</w:t>
      </w:r>
      <w:r>
        <w:t xml:space="preserve"> </w:t>
      </w:r>
      <w:r>
        <w:t xml:space="preserve">reports, so its 95.00% coverage is close to definitional and its half-widths are roughly 2.5 times the</w:t>
      </w:r>
      <w:r>
        <w:t xml:space="preserve"> </w:t>
      </w:r>
      <w:r>
        <w:t xml:space="preserve">model’s typical error; we do not present it as validated. It is retained in the codebase only as a</w:t>
      </w:r>
      <w:r>
        <w:t xml:space="preserve"> </w:t>
      </w:r>
      <w:r>
        <w:t xml:space="preserve">relative risk-ranking layer, which is the sole use the priority construction makes of it.</w:t>
      </w:r>
    </w:p>
    <w:p>
      <w:pPr>
        <w:pStyle w:val="BodyText"/>
      </w:pPr>
      <w:r>
        <w:rPr>
          <w:b/>
          <w:bCs/>
        </w:rPr>
        <w:t xml:space="preserve">Table IV. Cross-fitted 95% prediction intervals (21,815 cells).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Cells</w:t>
            </w:r>
          </w:p>
        </w:tc>
        <w:tc>
          <w:tcPr/>
          <w:p>
            <w:pPr>
              <w:pStyle w:val="Compact"/>
            </w:pPr>
            <w:r>
              <w:t xml:space="preserve">Coverage (%)</w:t>
            </w:r>
          </w:p>
        </w:tc>
        <w:tc>
          <w:tcPr/>
          <w:p>
            <w:pPr>
              <w:pStyle w:val="Compact"/>
            </w:pPr>
            <w:r>
              <w:t xml:space="preserve">Mean width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21,815</w:t>
            </w:r>
          </w:p>
        </w:tc>
        <w:tc>
          <w:tcPr/>
          <w:p>
            <w:pPr>
              <w:pStyle w:val="Compact"/>
            </w:pPr>
            <w:r>
              <w:t xml:space="preserve">94.94</w:t>
            </w:r>
          </w:p>
        </w:tc>
        <w:tc>
          <w:tcPr/>
          <w:p>
            <w:pPr>
              <w:pStyle w:val="Compact"/>
            </w:pPr>
            <w:r>
              <w:t xml:space="preserve">6.136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(coolest)</w:t>
            </w:r>
          </w:p>
        </w:tc>
        <w:tc>
          <w:tcPr/>
          <w:p>
            <w:pPr>
              <w:pStyle w:val="Compact"/>
            </w:pPr>
            <w:r>
              <w:t xml:space="preserve">4,364</w:t>
            </w:r>
          </w:p>
        </w:tc>
        <w:tc>
          <w:tcPr/>
          <w:p>
            <w:pPr>
              <w:pStyle w:val="Compact"/>
            </w:pPr>
            <w:r>
              <w:t xml:space="preserve">93.54</w:t>
            </w:r>
          </w:p>
        </w:tc>
        <w:tc>
          <w:tcPr/>
          <w:p>
            <w:pPr>
              <w:pStyle w:val="Compact"/>
            </w:pPr>
            <w:r>
              <w:t xml:space="preserve">6.138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4,362</w:t>
            </w:r>
          </w:p>
        </w:tc>
        <w:tc>
          <w:tcPr/>
          <w:p>
            <w:pPr>
              <w:pStyle w:val="Compact"/>
            </w:pPr>
            <w:r>
              <w:t xml:space="preserve">97.78</w:t>
            </w:r>
          </w:p>
        </w:tc>
        <w:tc>
          <w:tcPr/>
          <w:p>
            <w:pPr>
              <w:pStyle w:val="Compact"/>
            </w:pPr>
            <w:r>
              <w:t xml:space="preserve">6.136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4,363</w:t>
            </w:r>
          </w:p>
        </w:tc>
        <w:tc>
          <w:tcPr/>
          <w:p>
            <w:pPr>
              <w:pStyle w:val="Compact"/>
            </w:pPr>
            <w:r>
              <w:t xml:space="preserve">98.07</w:t>
            </w:r>
          </w:p>
        </w:tc>
        <w:tc>
          <w:tcPr/>
          <w:p>
            <w:pPr>
              <w:pStyle w:val="Compact"/>
            </w:pPr>
            <w:r>
              <w:t xml:space="preserve">6.134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4,365</w:t>
            </w:r>
          </w:p>
        </w:tc>
        <w:tc>
          <w:tcPr/>
          <w:p>
            <w:pPr>
              <w:pStyle w:val="Compact"/>
            </w:pPr>
            <w:r>
              <w:t xml:space="preserve">97.46</w:t>
            </w:r>
          </w:p>
        </w:tc>
        <w:tc>
          <w:tcPr/>
          <w:p>
            <w:pPr>
              <w:pStyle w:val="Compact"/>
            </w:pPr>
            <w:r>
              <w:t xml:space="preserve">6.135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 (hottest)</w:t>
            </w:r>
          </w:p>
        </w:tc>
        <w:tc>
          <w:tcPr/>
          <w:p>
            <w:pPr>
              <w:pStyle w:val="Compact"/>
            </w:pPr>
            <w:r>
              <w:t xml:space="preserve">4,361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87.85</w:t>
            </w:r>
          </w:p>
        </w:tc>
        <w:tc>
          <w:tcPr/>
          <w:p>
            <w:pPr>
              <w:pStyle w:val="Compact"/>
            </w:pPr>
            <w:r>
              <w:t xml:space="preserve">6.134</w:t>
            </w:r>
          </w:p>
        </w:tc>
      </w:tr>
    </w:tbl>
    <w:bookmarkEnd w:id="46"/>
    <w:bookmarkStart w:id="50" w:name="e.-equity-constrained-allocation"/>
    <w:p>
      <w:pPr>
        <w:pStyle w:val="Heading2"/>
      </w:pPr>
      <w:r>
        <w:t xml:space="preserve">E. Equity-constrained allocation</w:t>
      </w:r>
    </w:p>
    <w:p>
      <w:pPr>
        <w:pStyle w:val="FirstParagraph"/>
      </w:pPr>
      <w:r>
        <w:rPr>
          <w:b/>
          <w:bCs/>
        </w:rPr>
        <w:t xml:space="preserve">Table V. Scenario parameters (dimensionless index units).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Effect coefficient</w:t>
            </w:r>
          </w:p>
        </w:tc>
        <w:tc>
          <w:tcPr/>
          <w:p>
            <w:pPr>
              <w:pStyle w:val="Compact"/>
            </w:pPr>
            <w:r>
              <w:t xml:space="preserve">Capacity (cells)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 tree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 structure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 roof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centre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</w:tbl>
    <w:p>
      <w:pPr>
        <w:pStyle w:val="BodyText"/>
      </w:pPr>
      <w:r>
        <w:t xml:space="preserve">The equity-priority set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comprises the top 30% of cells by structural vulnerability. As</w:t>
      </w:r>
      <w:r>
        <w:t xml:space="preserve"> </w:t>
      </w:r>
      <w:r>
        <w:t xml:space="preserve">Section III-G notes, structural vulnerability is a monotone function of log population density scaled</w:t>
      </w:r>
      <w:r>
        <w:t xml:space="preserve"> </w:t>
      </w:r>
      <w:r>
        <w:t xml:space="preserve">by built-form capacity, so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is effectively a high-density set. The equity constraint (9)</w:t>
      </w:r>
      <w:r>
        <w:t xml:space="preserve"> </w:t>
      </w:r>
      <w:r>
        <w:t xml:space="preserve">is consequently a</w:t>
      </w:r>
      <w:r>
        <w:t xml:space="preserve"> </w:t>
      </w:r>
      <w:r>
        <w:rPr>
          <w:i/>
          <w:iCs/>
        </w:rPr>
        <w:t xml:space="preserve">density-weighted benefit-share floor</w:t>
      </w:r>
      <w:r>
        <w:t xml:space="preserve"> </w:t>
      </w:r>
      <w:r>
        <w:t xml:space="preserve">and should be read as such.</w:t>
      </w:r>
    </w:p>
    <w:p>
      <w:pPr>
        <w:pStyle w:val="BodyText"/>
      </w:pPr>
      <w:r>
        <w:rPr>
          <w:b/>
          <w:bCs/>
        </w:rPr>
        <w:t xml:space="preserve">E.1 Capacity-bound configuration.</w:t>
      </w:r>
      <w:r>
        <w:t xml:space="preserve"> </w:t>
      </w:r>
      <w:r>
        <w:t xml:space="preserve">With per-type capacities binding and the budget slack at 35.6%</w:t>
      </w:r>
      <w:r>
        <w:t xml:space="preserve"> </w:t>
      </w:r>
      <w:r>
        <w:t xml:space="preserve">utilisation, the mixed-integer optimum selects 4,100 cells — every capacity ceiling exactly — for a</w:t>
      </w:r>
      <w:r>
        <w:t xml:space="preserve"> </w:t>
      </w:r>
      <w:r>
        <w:t xml:space="preserve">total benefit of 2074.49. A benefit-per-cost greedy selects 3,629 cells for a benefit of 1616.44, an</w:t>
      </w:r>
      <w:r>
        <w:t xml:space="preserve"> </w:t>
      </w:r>
      <w:r>
        <w:t xml:space="preserve">apparent 28.34% gap. We report this number with its mechanism attached: it is a capacity-saturation</w:t>
      </w:r>
      <w:r>
        <w:t xml:space="preserve"> </w:t>
      </w:r>
      <w:r>
        <w:t xml:space="preserve">result, not a budget-efficiency result. The optimiser gains because it is free to fill every ceiling,</w:t>
      </w:r>
      <w:r>
        <w:t xml:space="preserve"> </w:t>
      </w:r>
      <w:r>
        <w:t xml:space="preserve">whereas greedy stops when no further item fits its ratio ordering. An equity floor of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leaves the solution</w:t>
      </w:r>
      <w:r>
        <w:t xml:space="preserve"> </w:t>
      </w:r>
      <w:r>
        <w:rPr>
          <w:i/>
          <w:iCs/>
        </w:rPr>
        <w:t xml:space="preserve">unchanged</w:t>
      </w:r>
      <w:r>
        <w:t xml:space="preserve">, because the unconstrained optimum already delivers a</w:t>
      </w:r>
      <w:r>
        <w:t xml:space="preserve"> </w:t>
      </w:r>
      <w:r>
        <w:t xml:space="preserve">62.16% equity share; the row is identical to the unconstrained row and carries no information. Only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binds, reducing benefit to 1996.90, a 3.74% cost.</w:t>
      </w:r>
    </w:p>
    <w:p>
      <w:pPr>
        <w:pStyle w:val="BodyText"/>
      </w:pPr>
      <w:r>
        <w:rPr>
          <w:b/>
          <w:bCs/>
        </w:rPr>
        <w:t xml:space="preserve">E.2 Budget-bound configuration.</w:t>
      </w:r>
      <w:r>
        <w:t xml:space="preserve"> </w:t>
      </w:r>
      <w:r>
        <w:t xml:space="preserve">Setting the budget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times the cost of filling every capacity</w:t>
      </w:r>
      <w:r>
        <w:t xml:space="preserve"> </w:t>
      </w:r>
      <w:r>
        <w:t xml:space="preserve">makes the budget the active constraint. Total benefit rises from 859.57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to 2074.49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1.0</m:t>
        </m:r>
      </m:oMath>
      <w:r>
        <w:t xml:space="preserve">, while the equity share falls from 94.0% to 62.2% — a genuine and interpretable trade-off in</w:t>
      </w:r>
      <w:r>
        <w:t xml:space="preserve"> </w:t>
      </w:r>
      <w:r>
        <w:t xml:space="preserve">which scarce budget is disproportionately absorbed by cells outside the equity set. Equity floors at or</w:t>
      </w:r>
      <w:r>
        <w:t xml:space="preserve"> </w:t>
      </w:r>
      <w:r>
        <w:t xml:space="preserve">below 0.6 are inert at every budget level (the solution is unchanged), so only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and 0.8</w:t>
      </w:r>
      <w:r>
        <w:t xml:space="preserve"> </w:t>
      </w:r>
      <w:r>
        <w:t xml:space="preserve">produce distinct allocations;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0.75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forces benefit down to 1750.75.</w:t>
      </w:r>
    </w:p>
    <w:p>
      <w:pPr>
        <w:pStyle w:val="BodyText"/>
      </w:pPr>
      <w:r>
        <w:rPr>
          <w:b/>
          <w:bCs/>
        </w:rPr>
        <w:t xml:space="preserve">Table VI. Allocation results. Costs and benefits are dimensionless scenario units.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Constraint active</w:t>
            </w:r>
          </w:p>
        </w:tc>
        <w:tc>
          <w:tcPr/>
          <w:p>
            <w:pPr>
              <w:pStyle w:val="Compact"/>
            </w:pPr>
            <w:r>
              <w:t xml:space="preserve">Equity floor</w:t>
            </w:r>
          </w:p>
        </w:tc>
        <w:tc>
          <w:tcPr/>
          <w:p>
            <w:pPr>
              <w:pStyle w:val="Compact"/>
            </w:pPr>
            <w:r>
              <w:t xml:space="preserve">Cells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Equity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Capacity-bound</w:t>
            </w:r>
          </w:p>
        </w:tc>
        <w:tc>
          <w:tcPr/>
          <w:p>
            <w:pPr>
              <w:pStyle w:val="Compact"/>
            </w:pPr>
            <w:r>
              <w:t xml:space="preserve">Capacity (budget 35.6% used)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6,700</w:t>
            </w:r>
          </w:p>
        </w:tc>
        <w:tc>
          <w:tcPr/>
          <w:p>
            <w:pPr>
              <w:pStyle w:val="Compact"/>
            </w:pPr>
            <w:r>
              <w:t xml:space="preserve">2074.49</w:t>
            </w:r>
          </w:p>
        </w:tc>
        <w:tc>
          <w:tcPr/>
          <w:p>
            <w:pPr>
              <w:pStyle w:val="Compact"/>
            </w:pPr>
            <w:r>
              <w:t xml:space="preserve">0.6216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Capacity-bound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6,700</w:t>
            </w:r>
          </w:p>
        </w:tc>
        <w:tc>
          <w:tcPr/>
          <w:p>
            <w:pPr>
              <w:pStyle w:val="Compact"/>
            </w:pPr>
            <w:r>
              <w:t xml:space="preserve">2074.49</w:t>
            </w:r>
          </w:p>
        </w:tc>
        <w:tc>
          <w:tcPr/>
          <w:p>
            <w:pPr>
              <w:pStyle w:val="Compact"/>
            </w:pPr>
            <w:r>
              <w:t xml:space="preserve">0.6216 (inactive)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Capacity-bound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6,700</w:t>
            </w:r>
          </w:p>
        </w:tc>
        <w:tc>
          <w:tcPr/>
          <w:p>
            <w:pPr>
              <w:pStyle w:val="Compact"/>
            </w:pPr>
            <w:r>
              <w:t xml:space="preserve">1996.90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Budget-bound</w:t>
            </w:r>
          </w:p>
        </w:tc>
        <w:tc>
          <w:tcPr/>
          <w:p>
            <w:pPr>
              <w:pStyle w:val="Compact"/>
            </w:pPr>
            <w:r>
              <w:t xml:space="preserve">Budget (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0.25)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1,482</w:t>
            </w:r>
          </w:p>
        </w:tc>
        <w:tc>
          <w:tcPr/>
          <w:p>
            <w:pPr>
              <w:pStyle w:val="Compact"/>
            </w:pPr>
            <w:r>
              <w:t xml:space="preserve">1,674.8</w:t>
            </w:r>
          </w:p>
        </w:tc>
        <w:tc>
          <w:tcPr/>
          <w:p>
            <w:pPr>
              <w:pStyle w:val="Compact"/>
            </w:pPr>
            <w:r>
              <w:t xml:space="preserve">859.57</w:t>
            </w:r>
          </w:p>
        </w:tc>
        <w:tc>
          <w:tcPr/>
          <w:p>
            <w:pPr>
              <w:pStyle w:val="Compact"/>
            </w:pPr>
            <w:r>
              <w:t xml:space="preserve">0.9401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Budget-bound</w:t>
            </w:r>
          </w:p>
        </w:tc>
        <w:tc>
          <w:tcPr/>
          <w:p>
            <w:pPr>
              <w:pStyle w:val="Compact"/>
            </w:pPr>
            <w:r>
              <w:t xml:space="preserve">Budget (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0.50)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2,609</w:t>
            </w:r>
          </w:p>
        </w:tc>
        <w:tc>
          <w:tcPr/>
          <w:p>
            <w:pPr>
              <w:pStyle w:val="Compact"/>
            </w:pPr>
            <w:r>
              <w:t xml:space="preserve">3,350</w:t>
            </w:r>
          </w:p>
        </w:tc>
        <w:tc>
          <w:tcPr/>
          <w:p>
            <w:pPr>
              <w:pStyle w:val="Compact"/>
            </w:pPr>
            <w:r>
              <w:t xml:space="preserve">1502.00</w:t>
            </w:r>
          </w:p>
        </w:tc>
        <w:tc>
          <w:tcPr/>
          <w:p>
            <w:pPr>
              <w:pStyle w:val="Compact"/>
            </w:pPr>
            <w:r>
              <w:t xml:space="preserve">0.8233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Budget-bound</w:t>
            </w:r>
          </w:p>
        </w:tc>
        <w:tc>
          <w:tcPr/>
          <w:p>
            <w:pPr>
              <w:pStyle w:val="Compact"/>
            </w:pPr>
            <w:r>
              <w:t xml:space="preserve">Budget (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0.75)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3,287</w:t>
            </w:r>
          </w:p>
        </w:tc>
        <w:tc>
          <w:tcPr/>
          <w:p>
            <w:pPr>
              <w:pStyle w:val="Compact"/>
            </w:pPr>
            <w:r>
              <w:t xml:space="preserve">5,024.5</w:t>
            </w:r>
          </w:p>
        </w:tc>
        <w:tc>
          <w:tcPr/>
          <w:p>
            <w:pPr>
              <w:pStyle w:val="Compact"/>
            </w:pPr>
            <w:r>
              <w:t xml:space="preserve">1874.02</w:t>
            </w:r>
          </w:p>
        </w:tc>
        <w:tc>
          <w:tcPr/>
          <w:p>
            <w:pPr>
              <w:pStyle w:val="Compact"/>
            </w:pPr>
            <w:r>
              <w:t xml:space="preserve">0.7250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Budget-bound</w:t>
            </w:r>
          </w:p>
        </w:tc>
        <w:tc>
          <w:tcPr/>
          <w:p>
            <w:pPr>
              <w:pStyle w:val="Compact"/>
            </w:pPr>
            <w:r>
              <w:t xml:space="preserve">Budget (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1.00)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6,700</w:t>
            </w:r>
          </w:p>
        </w:tc>
        <w:tc>
          <w:tcPr/>
          <w:p>
            <w:pPr>
              <w:pStyle w:val="Compact"/>
            </w:pPr>
            <w:r>
              <w:t xml:space="preserve">2074.49</w:t>
            </w:r>
          </w:p>
        </w:tc>
        <w:tc>
          <w:tcPr/>
          <w:p>
            <w:pPr>
              <w:pStyle w:val="Compact"/>
            </w:pPr>
            <w:r>
              <w:t xml:space="preserve">0.6216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Budget-bound</w:t>
            </w:r>
          </w:p>
        </w:tc>
        <w:tc>
          <w:tcPr/>
          <w:p>
            <w:pPr>
              <w:pStyle w:val="Compact"/>
            </w:pPr>
            <w:r>
              <w:t xml:space="preserve">Budget (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0.75)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3,147</w:t>
            </w:r>
          </w:p>
        </w:tc>
        <w:tc>
          <w:tcPr/>
          <w:p>
            <w:pPr>
              <w:pStyle w:val="Compact"/>
            </w:pPr>
            <w:r>
              <w:t xml:space="preserve">5,024.0</w:t>
            </w:r>
          </w:p>
        </w:tc>
        <w:tc>
          <w:tcPr/>
          <w:p>
            <w:pPr>
              <w:pStyle w:val="Compact"/>
            </w:pPr>
            <w:r>
              <w:t xml:space="preserve">1750.75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</w:tr>
    </w:tbl>
    <w:p>
      <w:pPr>
        <w:pStyle w:val="BodyText"/>
      </w:pPr>
      <w:r>
        <w:t xml:space="preserve">A second configuration, in which the budget is defined as a fraction of mean per-cell cost and no</w:t>
      </w:r>
      <w:r>
        <w:t xml:space="preserve"> </w:t>
      </w:r>
      <w:r>
        <w:t xml:space="preserve">capacity limits apply, yields the clearest measure of what the equity constraint costs. Its</w:t>
      </w:r>
      <w:r>
        <w:t xml:space="preserve"> </w:t>
      </w:r>
      <w:r>
        <w:t xml:space="preserve">unconstrained optimum (benefit 2470.69, equity share 0.5687) is reproduced exactly by a simple</w:t>
      </w:r>
      <w:r>
        <w:t xml:space="preserve"> </w:t>
      </w:r>
      <w:r>
        <w:t xml:space="preserve">ranking baseline, which independently confirms optimality. Imposing floors then gives: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no change;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benefit 2341.74 (</w:t>
      </w:r>
      <w:r>
        <w:rPr>
          <w:b/>
          <w:bCs/>
        </w:rPr>
        <w:t xml:space="preserve">−5.22%</w:t>
      </w:r>
      <w:r>
        <w:t xml:space="preserve">);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benefit 2007.31 (</w:t>
      </w:r>
      <w:r>
        <w:rPr>
          <w:b/>
          <w:bCs/>
        </w:rPr>
        <w:t xml:space="preserve">−18.76%</w:t>
      </w:r>
      <w:r>
        <w:t xml:space="preserve">),</w:t>
      </w:r>
      <w:r>
        <w:t xml:space="preserve"> </w:t>
      </w:r>
      <w:r>
        <w:t xml:space="preserve">with the equity share pinned at the target in each case and solver status optimal with relative MIP</w:t>
      </w:r>
      <w:r>
        <w:t xml:space="preserve"> </w:t>
      </w:r>
      <w:r>
        <w:t xml:space="preserve">gap below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Requiring that 70% of benefit accrue to equity-priority cells costs</w:t>
      </w:r>
      <w:r>
        <w:rPr>
          <w:b/>
          <w:bCs/>
        </w:rPr>
        <w:t xml:space="preserve"> </w:t>
      </w:r>
      <w:r>
        <w:rPr>
          <w:b/>
          <w:bCs/>
        </w:rPr>
        <w:t xml:space="preserve">18.76% of total benefit; a 60% floor costs 5.22%.</w:t>
      </w:r>
    </w:p>
    <w:p>
      <w:pPr>
        <w:pStyle w:val="BodyText"/>
      </w:pPr>
      <w:r>
        <w:rPr>
          <w:b/>
          <w:bCs/>
        </w:rPr>
        <w:t xml:space="preserve">E.3 What the effect coefficients can and cannot do.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cell-invariant in (4), it cannot change which intervention is preferred at any cell, nor any</w:t>
      </w:r>
      <w:r>
        <w:t xml:space="preserve"> </w:t>
      </w:r>
      <w:r>
        <w:t xml:space="preserve">per-cell ranking of cells. We verified this directly: multiplying all effect coefficients by a common</w:t>
      </w:r>
      <w:r>
        <w:t xml:space="preserve"> </w:t>
      </w:r>
      <w:r>
        <w:t xml:space="preserve">scalar leaves every allocation decision unchanged. We therefore make no claim about the relative</w:t>
      </w:r>
      <w:r>
        <w:t xml:space="preserve"> </w:t>
      </w:r>
      <w:r>
        <w:t xml:space="preserve">effectiveness of the four intervention types. Their only influence is through the cost–benefit</w:t>
      </w:r>
      <w:r>
        <w:t xml:space="preserve"> </w:t>
      </w:r>
      <w:r>
        <w:t xml:space="preserve">trade-off, where a higher effect and a higher cost together determine which types a tight budget</w:t>
      </w:r>
      <w:r>
        <w:t xml:space="preserve"> </w:t>
      </w:r>
      <w:r>
        <w:t xml:space="preserve">favours — an assumption we state rather than a result we estimate.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Equity-constrained allocation results" title="" id="48" name="Picture"/>
            <a:graphic>
              <a:graphicData uri="http://schemas.openxmlformats.org/drawingml/2006/picture">
                <pic:pic>
                  <pic:nvPicPr>
                    <pic:cNvPr descr="figures/fig6_optimiz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6.</w:t>
      </w:r>
      <w:r>
        <w:t xml:space="preserve"> </w:t>
      </w:r>
      <w:r>
        <w:t xml:space="preserve">Allocation panels: (a) benefit–equity trade-off for the budget sweep and the equity floors, and (b) intervention mix at the budget extremes, where the 25% budget is absorbed almost entirely by urban trees while the full budget saturates all four types.</w:t>
      </w:r>
    </w:p>
    <w:bookmarkEnd w:id="50"/>
    <w:bookmarkStart w:id="51" w:name="f.-eligibility"/>
    <w:p>
      <w:pPr>
        <w:pStyle w:val="Heading2"/>
      </w:pPr>
      <w:r>
        <w:t xml:space="preserve">F. Eligibility</w:t>
      </w:r>
    </w:p>
    <w:p>
      <w:pPr>
        <w:pStyle w:val="FirstParagraph"/>
      </w:pPr>
      <w:r>
        <w:t xml:space="preserve">5,084 of 21,815 cells (23.3%) are eligible for at least one intervention: 4,192 for urban trees, 3,274</w:t>
      </w:r>
      <w:r>
        <w:t xml:space="preserve"> </w:t>
      </w:r>
      <w:r>
        <w:t xml:space="preserve">for cool roofs, 2,925 for shade structures and 2,520 for cooling centres. This rate should not be</w:t>
      </w:r>
      <w:r>
        <w:t xml:space="preserve"> </w:t>
      </w:r>
      <w:r>
        <w:t xml:space="preserve">read as an empirical finding about Bengaluru. Every gate is a conjunction of in-sample median and</w:t>
      </w:r>
      <w:r>
        <w:t xml:space="preserve"> </w:t>
      </w:r>
      <w:r>
        <w:t xml:space="preserve">quartile thresholds, so 23.3% is close to what the threshold definitions imply rather than a</w:t>
      </w:r>
      <w:r>
        <w:t xml:space="preserve"> </w:t>
      </w:r>
      <w:r>
        <w:t xml:space="preserve">property of the city. Externally justified thresholds — canopy targets or planning standards — would</w:t>
      </w:r>
      <w:r>
        <w:t xml:space="preserve"> </w:t>
      </w:r>
      <w:r>
        <w:t xml:space="preserve">be required to make the number informative.</w:t>
      </w:r>
    </w:p>
    <w:bookmarkEnd w:id="51"/>
    <w:bookmarkStart w:id="52" w:name="g.-robustness"/>
    <w:p>
      <w:pPr>
        <w:pStyle w:val="Heading2"/>
      </w:pPr>
      <w:r>
        <w:t xml:space="preserve">G. Robustness</w:t>
      </w:r>
    </w:p>
    <w:p>
      <w:pPr>
        <w:pStyle w:val="FirstParagraph"/>
      </w:pPr>
      <w:r>
        <w:t xml:space="preserve">Of 500 Monte Carlo runs, 475 return a certified-optimal solution and 25 terminate on the 20-second</w:t>
      </w:r>
      <w:r>
        <w:t xml:space="preserve"> </w:t>
      </w:r>
      <w:r>
        <w:t xml:space="preserve">time limit, which is recorded as a missing value rather than as a failure flag. All 192</w:t>
      </w:r>
      <w:r>
        <w:t xml:space="preserve"> </w:t>
      </w:r>
      <w:r>
        <w:t xml:space="preserve">certified-optimal equity runs satisfy their equity target; the 8 time-limited equity runs cannot be</w:t>
      </w:r>
      <w:r>
        <w:t xml:space="preserve"> </w:t>
      </w:r>
      <w:r>
        <w:t xml:space="preserve">assessed. Each run perturbs cost and effect by up to ±30% and capacities by up to ±20%. The 500 runs</w:t>
      </w:r>
      <w:r>
        <w:t xml:space="preserve"> </w:t>
      </w:r>
      <w:r>
        <w:t xml:space="preserve">share 150 distinct parameter draws, each evaluated across several budget and equity settings, so the</w:t>
      </w:r>
      <w:r>
        <w:t xml:space="preserve"> </w:t>
      </w:r>
      <w:r>
        <w:t xml:space="preserve">budget and equity levels are not independent replications.</w:t>
      </w:r>
    </w:p>
    <w:bookmarkEnd w:id="52"/>
    <w:bookmarkEnd w:id="53"/>
    <w:bookmarkStart w:id="54" w:name="vii.-discussion"/>
    <w:p>
      <w:pPr>
        <w:pStyle w:val="Heading1"/>
      </w:pPr>
      <w:r>
        <w:t xml:space="preserve">VII. Discussion</w:t>
      </w:r>
    </w:p>
    <w:p>
      <w:pPr>
        <w:pStyle w:val="FirstParagraph"/>
      </w:pPr>
      <w:r>
        <w:t xml:space="preserve">Three results carry practical significance.</w:t>
      </w:r>
    </w:p>
    <w:p>
      <w:pPr>
        <w:pStyle w:val="BodyText"/>
      </w:pPr>
      <w:r>
        <w:rPr>
          <w:b/>
          <w:bCs/>
        </w:rPr>
        <w:t xml:space="preserve">Neighbourhood context is worth more for error balance than for accuracy.</w:t>
      </w:r>
      <w:r>
        <w:t xml:space="preserve"> </w:t>
      </w:r>
      <w:r>
        <w:t xml:space="preserve">A 3.62% RMSE reduction is</w:t>
      </w:r>
      <w:r>
        <w:t xml:space="preserve"> </w:t>
      </w:r>
      <w:r>
        <w:t xml:space="preserve">a modest gain that a practitioner might reasonably dismiss. The 8.08% reduction in hottest-quintile</w:t>
      </w:r>
      <w:r>
        <w:t xml:space="preserve"> </w:t>
      </w:r>
      <w:r>
        <w:t xml:space="preserve">bias is a different kind of result, because the hottest quintile is where an adaptation budget should</w:t>
      </w:r>
      <w:r>
        <w:t xml:space="preserve"> </w:t>
      </w:r>
      <w:r>
        <w:t xml:space="preserve">be concentrated and where the model was demonstrably least trustworthy.</w:t>
      </w:r>
    </w:p>
    <w:p>
      <w:pPr>
        <w:pStyle w:val="BodyText"/>
      </w:pPr>
      <w:r>
        <w:rPr>
          <w:b/>
          <w:bCs/>
        </w:rPr>
        <w:t xml:space="preserve">Pooled uncertainty metrics conceal the failure mode that matters.</w:t>
      </w:r>
      <w:r>
        <w:t xml:space="preserve"> </w:t>
      </w:r>
      <w:r>
        <w:t xml:space="preserve">Reporting 94.94% coverage would</w:t>
      </w:r>
      <w:r>
        <w:t xml:space="preserve"> </w:t>
      </w:r>
      <w:r>
        <w:t xml:space="preserve">be accurate and uninformative. The 87.85% figure in the hottest quintile, paired with a constant</w:t>
      </w:r>
      <w:r>
        <w:t xml:space="preserve"> </w:t>
      </w:r>
      <w:r>
        <w:t xml:space="preserve">interval width, identifies a specific, actionable weakness: the interval construction is symmetric</w:t>
      </w:r>
      <w:r>
        <w:t xml:space="preserve"> </w:t>
      </w:r>
      <w:r>
        <w:t xml:space="preserve">and cannot widen where the model is over-confident. A municipality relying on these intervals to</w:t>
      </w:r>
      <w:r>
        <w:t xml:space="preserve"> </w:t>
      </w:r>
      <w:r>
        <w:t xml:space="preserve">trigger intervention would find the trigger firing too late in exactly the neighbourhoods where</w:t>
      </w:r>
      <w:r>
        <w:t xml:space="preserve"> </w:t>
      </w:r>
      <w:r>
        <w:t xml:space="preserve">heat is most dangerous. We regard the per-quintile breakdown as a reporting requirement for any</w:t>
      </w:r>
      <w:r>
        <w:t xml:space="preserve"> </w:t>
      </w:r>
      <w:r>
        <w:t xml:space="preserve">spatial prediction interval, not an optional diagnostic.</w:t>
      </w:r>
    </w:p>
    <w:p>
      <w:pPr>
        <w:pStyle w:val="BodyText"/>
      </w:pPr>
      <w:r>
        <w:rPr>
          <w:b/>
          <w:bCs/>
        </w:rPr>
        <w:t xml:space="preserve">Equity has a measurable price, and the price depends on how binding the constraint is.</w:t>
      </w:r>
      <w:r>
        <w:t xml:space="preserve"> </w:t>
      </w:r>
      <w:r>
        <w:t xml:space="preserve">A 60%</w:t>
      </w:r>
      <w:r>
        <w:t xml:space="preserve"> </w:t>
      </w:r>
      <w:r>
        <w:t xml:space="preserve">equity floor costs 5.22% of benefit; a 70% floor costs 18.76%. Meanwhile budgets below full capacity</w:t>
      </w:r>
      <w:r>
        <w:t xml:space="preserve"> </w:t>
      </w:r>
      <w:r>
        <w:t xml:space="preserve">deliver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equity shares for free in benefit terms — the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solution is 94.0% equitable,</w:t>
      </w:r>
      <w:r>
        <w:t xml:space="preserve"> </w:t>
      </w:r>
      <w:r>
        <w:t xml:space="preserve">because scarce budget is absorbed disproportionately outside the equity set. For a municipality</w:t>
      </w:r>
      <w:r>
        <w:t xml:space="preserve"> </w:t>
      </w:r>
      <w:r>
        <w:t xml:space="preserve">operating under severe fiscal constraint, this is the practically important finding: tightening the</w:t>
      </w:r>
      <w:r>
        <w:t xml:space="preserve"> </w:t>
      </w:r>
      <w:r>
        <w:t xml:space="preserve">budget is itself an equity measure, and a formal equity constraint on top of a tight budget mostly</w:t>
      </w:r>
      <w:r>
        <w:t xml:space="preserve"> </w:t>
      </w:r>
      <w:r>
        <w:t xml:space="preserve">redistributes allocation rather than increasing total benefit.</w:t>
      </w:r>
    </w:p>
    <w:p>
      <w:pPr>
        <w:pStyle w:val="BodyText"/>
      </w:pPr>
      <w:r>
        <w:t xml:space="preserve">Two negative results deserve equal visibility. First, the effect coefficients cannot influence</w:t>
      </w:r>
      <w:r>
        <w:t xml:space="preserve"> </w:t>
      </w:r>
      <w:r>
        <w:t xml:space="preserve">allocation preference (Section VI-E.3); any study that reports intervention-type preferences derived</w:t>
      </w:r>
      <w:r>
        <w:t xml:space="preserve"> </w:t>
      </w:r>
      <w:r>
        <w:t xml:space="preserve">from cell-invariant coefficients is reporting its own opportunity weights back to itself. Second,</w:t>
      </w:r>
      <w:r>
        <w:t xml:space="preserve"> </w:t>
      </w:r>
      <w:r>
        <w:t xml:space="preserve">the NDBI/NDMI identity (Section VI-B) means index-based UHI studies that include both are</w:t>
      </w:r>
      <w:r>
        <w:t xml:space="preserve"> </w:t>
      </w:r>
      <w:r>
        <w:t xml:space="preserve">double-counting a single axis, which may contribute to the persistent difficulty in separating</w:t>
      </w:r>
      <w:r>
        <w:t xml:space="preserve"> </w:t>
      </w:r>
      <w:r>
        <w:t xml:space="preserve">built-form from vegetation effects.</w:t>
      </w:r>
    </w:p>
    <w:bookmarkEnd w:id="54"/>
    <w:bookmarkStart w:id="55" w:name="viii.-limitations"/>
    <w:p>
      <w:pPr>
        <w:pStyle w:val="Heading1"/>
      </w:pPr>
      <w:r>
        <w:t xml:space="preserve">VIII. Limitations</w:t>
      </w:r>
    </w:p>
    <w:p>
      <w:pPr>
        <w:pStyle w:val="FirstParagraph"/>
      </w:pPr>
      <w:r>
        <w:t xml:space="preserve">We enumerate limitations that materially constrain interpretation, separating those that changed how</w:t>
      </w:r>
      <w:r>
        <w:t xml:space="preserve"> </w:t>
      </w:r>
      <w:r>
        <w:t xml:space="preserve">results are framed from those that remain open.</w:t>
      </w:r>
    </w:p>
    <w:p>
      <w:pPr>
        <w:pStyle w:val="BodyText"/>
      </w:pPr>
      <w:r>
        <w:rPr>
          <w:b/>
          <w:bCs/>
        </w:rPr>
        <w:t xml:space="preserve">L1 — Single-date spatial percentile, not a temporal extreme.</w:t>
      </w:r>
      <w:r>
        <w:t xml:space="preserve"> </w:t>
      </w:r>
      <w:r>
        <w:t xml:space="preserve">The target is the 95th percentile of</w:t>
      </w:r>
      <w:r>
        <w:t xml:space="preserve"> </w:t>
      </w:r>
      <w:r>
        <w:t xml:space="preserve">valid 30 m pixels</w:t>
      </w:r>
      <w:r>
        <w:t xml:space="preserve"> </w:t>
      </w:r>
      <w:r>
        <w:rPr>
          <w:i/>
          <w:iCs/>
        </w:rPr>
        <w:t xml:space="preserve">within one 250 m cell on one acquisition</w:t>
      </w:r>
      <w:r>
        <w:t xml:space="preserve">. It is not a daily maximum, a heatwave</w:t>
      </w:r>
      <w:r>
        <w:t xml:space="preserve"> </w:t>
      </w:r>
      <w:r>
        <w:t xml:space="preserve">intensity, or a climatological extreme, and no temporal stack exists in the implementation. Every</w:t>
      </w:r>
      <w:r>
        <w:t xml:space="preserve"> </w:t>
      </w:r>
      <w:r>
        <w:t xml:space="preserve">result in this paper is conditional on that definition. A multi-date hot-season composite is the single</w:t>
      </w:r>
      <w:r>
        <w:t xml:space="preserve"> </w:t>
      </w:r>
      <w:r>
        <w:t xml:space="preserve">most important extension and would change all reported numbers.</w:t>
      </w:r>
    </w:p>
    <w:p>
      <w:pPr>
        <w:pStyle w:val="BodyText"/>
      </w:pPr>
      <w:r>
        <w:rPr>
          <w:b/>
          <w:bCs/>
        </w:rPr>
        <w:t xml:space="preserve">L2 — Surface temperature is not air temperature.</w:t>
      </w:r>
      <w:r>
        <w:t xml:space="preserve"> </w:t>
      </w:r>
      <w:r>
        <w:t xml:space="preserve">LST is a validated but imperfect proxy for human</w:t>
      </w:r>
      <w:r>
        <w:t xml:space="preserve"> </w:t>
      </w:r>
      <w:r>
        <w:t xml:space="preserve">thermal exposure [3]–[5], [11], and the divergence depends on time of day, season and surface</w:t>
      </w:r>
      <w:r>
        <w:t xml:space="preserve"> </w:t>
      </w:r>
      <w:r>
        <w:t xml:space="preserve">moisture. HeatScope does not estimate air temperature, thermal comfort, or any health outcome.</w:t>
      </w:r>
    </w:p>
    <w:p>
      <w:pPr>
        <w:pStyle w:val="BodyText"/>
      </w:pPr>
      <w:r>
        <w:rPr>
          <w:b/>
          <w:bCs/>
        </w:rPr>
        <w:t xml:space="preserve">L3 — Systematic under-prediction of the hottest cells.</w:t>
      </w:r>
      <w:r>
        <w:t xml:space="preserve"> </w:t>
      </w:r>
      <w:r>
        <w:t xml:space="preserve">A +1.38 °C bias in the hottest quintile</w:t>
      </w:r>
      <w:r>
        <w:t xml:space="preserve"> </w:t>
      </w:r>
      <w:r>
        <w:t xml:space="preserve">survives at 8.08% reduction with added context features. Because this bias coincides with the</w:t>
      </w:r>
      <w:r>
        <w:t xml:space="preserve"> </w:t>
      </w:r>
      <w:r>
        <w:t xml:space="preserve">under-coverage reported in Section VI-D, it is the most consequential empirical weakness in the</w:t>
      </w:r>
      <w:r>
        <w:t xml:space="preserve"> </w:t>
      </w:r>
      <w:r>
        <w:t xml:space="preserve">pipeline, and it biases exposure estimates downward precisely where they matter most.</w:t>
      </w:r>
    </w:p>
    <w:p>
      <w:pPr>
        <w:pStyle w:val="BodyText"/>
      </w:pPr>
      <w:r>
        <w:rPr>
          <w:b/>
          <w:bCs/>
        </w:rPr>
        <w:t xml:space="preserve">L4 — Intervals lack a coverage guarantee.</w:t>
      </w:r>
      <w:r>
        <w:t xml:space="preserve"> </w:t>
      </w:r>
      <w:r>
        <w:t xml:space="preserve">Quantiles are estimated by linear interpolation rather</w:t>
      </w:r>
      <w:r>
        <w:t xml:space="preserve"> </w:t>
      </w:r>
      <w:r>
        <w:t xml:space="preserve">than the conformal index, and calibration residuals for a fold originate from models trained on folds</w:t>
      </w:r>
      <w:r>
        <w:t xml:space="preserve"> </w:t>
      </w:r>
      <w:r>
        <w:t xml:space="preserve">including it [30], [31]. The reported 94.94% is an empirical measurement on this dataset, not a</w:t>
      </w:r>
      <w:r>
        <w:t xml:space="preserve"> </w:t>
      </w:r>
      <w:r>
        <w:t xml:space="preserve">guarantee for future data.</w:t>
      </w:r>
    </w:p>
    <w:p>
      <w:pPr>
        <w:pStyle w:val="BodyText"/>
      </w:pPr>
      <w:r>
        <w:rPr>
          <w:b/>
          <w:bCs/>
        </w:rPr>
        <w:t xml:space="preserve">L5 — Equity is population density.</w:t>
      </w:r>
      <w:r>
        <w:t xml:space="preserve"> </w:t>
      </w:r>
      <w:r>
        <w:t xml:space="preserve">The equity set is a monotone function of log population</w:t>
      </w:r>
      <w:r>
        <w:t xml:space="preserve"> </w:t>
      </w:r>
      <w:r>
        <w:t xml:space="preserve">density scaled by built-form capacity. A genuine equity criterion would require health, demographic</w:t>
      </w:r>
      <w:r>
        <w:t xml:space="preserve"> </w:t>
      </w:r>
      <w:r>
        <w:t xml:space="preserve">or socioeconomic layers the study does not contain.</w:t>
      </w:r>
    </w:p>
    <w:p>
      <w:pPr>
        <w:pStyle w:val="BodyText"/>
      </w:pPr>
      <w:r>
        <w:rPr>
          <w:b/>
          <w:bCs/>
        </w:rPr>
        <w:t xml:space="preserve">L6 — Eligibility rates are definitional.</w:t>
      </w:r>
      <w:r>
        <w:t xml:space="preserve"> </w:t>
      </w:r>
      <w:r>
        <w:t xml:space="preserve">The 23.3% eligibility rate follows from in-sample</w:t>
      </w:r>
      <w:r>
        <w:t xml:space="preserve"> </w:t>
      </w:r>
      <w:r>
        <w:t xml:space="preserve">quantile gates and is not an empirical property of the city.</w:t>
      </w:r>
    </w:p>
    <w:p>
      <w:pPr>
        <w:pStyle w:val="BodyText"/>
      </w:pPr>
      <w:r>
        <w:rPr>
          <w:b/>
          <w:bCs/>
        </w:rPr>
        <w:t xml:space="preserve">L7 — Scenario parameters are assumptions.</w:t>
      </w:r>
      <w:r>
        <w:t xml:space="preserve"> </w:t>
      </w:r>
      <w:r>
        <w:t xml:space="preserve">Costs, effect coefficients and capacities are</w:t>
      </w:r>
      <w:r>
        <w:t xml:space="preserve"> </w:t>
      </w:r>
      <w:r>
        <w:t xml:space="preserve">dimensionless index units with no empirical calibration. Benefit totals and cost-of-equity figures</w:t>
      </w:r>
      <w:r>
        <w:t xml:space="preserve"> </w:t>
      </w:r>
      <w:r>
        <w:t xml:space="preserve">are internal to this scenario and must not be read as degrees, currency, or health outcomes.</w:t>
      </w:r>
    </w:p>
    <w:p>
      <w:pPr>
        <w:pStyle w:val="BodyText"/>
      </w:pPr>
      <w:r>
        <w:rPr>
          <w:b/>
          <w:bCs/>
        </w:rPr>
        <w:t xml:space="preserve">L8 — Vulnerability index weights are unjustified.</w:t>
      </w:r>
      <w:r>
        <w:t xml:space="preserve"> </w:t>
      </w:r>
      <w:r>
        <w:t xml:space="preserve">The exposure and capacity weights are</w:t>
      </w:r>
      <w:r>
        <w:t xml:space="preserve"> </w:t>
      </w:r>
      <w:r>
        <w:t xml:space="preserve">expert-elicited, untested, and combined multiplicatively, which collapses cells that are simultaneously</w:t>
      </w:r>
      <w:r>
        <w:t xml:space="preserve"> </w:t>
      </w:r>
      <w:r>
        <w:t xml:space="preserve">low-vegetation, low-population and high-built toward zero before a second rescaling. The sensitivity</w:t>
      </w:r>
      <w:r>
        <w:t xml:space="preserve"> </w:t>
      </w:r>
      <w:r>
        <w:t xml:space="preserve">component is a single variable. We report the index as one descriptive layer, not a validated</w:t>
      </w:r>
      <w:r>
        <w:t xml:space="preserve"> </w:t>
      </w:r>
      <w:r>
        <w:t xml:space="preserve">construct.</w:t>
      </w:r>
    </w:p>
    <w:p>
      <w:pPr>
        <w:pStyle w:val="BodyText"/>
      </w:pPr>
      <w:r>
        <w:rPr>
          <w:b/>
          <w:bCs/>
        </w:rPr>
        <w:t xml:space="preserve">L9 — Study region and resolution.</w:t>
      </w:r>
      <w:r>
        <w:t xml:space="preserve"> </w:t>
      </w:r>
      <w:r>
        <w:t xml:space="preserve">The region is a bounding box rather than an administrative</w:t>
      </w:r>
      <w:r>
        <w:t xml:space="preserve"> </w:t>
      </w:r>
      <w:r>
        <w:t xml:space="preserve">boundary; 30 boundary cells have area as small as 10.54 m², and their p95 target derives from</w:t>
      </w:r>
      <w:r>
        <w:t xml:space="preserve"> </w:t>
      </w:r>
      <w:r>
        <w:t xml:space="preserve">approximately one source pixel. Equity findings are known to be sensitive to analysis scale [35].</w:t>
      </w:r>
    </w:p>
    <w:p>
      <w:pPr>
        <w:pStyle w:val="BodyText"/>
      </w:pPr>
      <w:r>
        <w:rPr>
          <w:b/>
          <w:bCs/>
        </w:rPr>
        <w:t xml:space="preserve">L10 — Data provenance gaps.</w:t>
      </w:r>
      <w:r>
        <w:t xml:space="preserve"> </w:t>
      </w:r>
      <w:r>
        <w:t xml:space="preserve">The population raster has no recorded release DOI, licence or</w:t>
      </w:r>
      <w:r>
        <w:t xml:space="preserve"> </w:t>
      </w:r>
      <w:r>
        <w:t xml:space="preserve">checksum, and is aggregated without proportional-area weighting. The building layer comes from a</w:t>
      </w:r>
      <w:r>
        <w:t xml:space="preserve"> </w:t>
      </w:r>
      <w:r>
        <w:t xml:space="preserve">single quadkey tile of a 2026-08-13 conflation snapshot with no in-repository downloader, no</w:t>
      </w:r>
      <w:r>
        <w:t xml:space="preserve"> </w:t>
      </w:r>
      <w:r>
        <w:t xml:space="preserve">de-duplication of overlapping footprints, no minimum-area gate on boundary slivers, and its available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 is discarded.</w:t>
      </w:r>
    </w:p>
    <w:p>
      <w:pPr>
        <w:pStyle w:val="BodyText"/>
      </w:pPr>
      <w:r>
        <w:rPr>
          <w:b/>
          <w:bCs/>
        </w:rPr>
        <w:t xml:space="preserve">L11 — Reproducibility gaps.</w:t>
      </w:r>
      <w:r>
        <w:t xml:space="preserve"> </w:t>
      </w:r>
      <w:r>
        <w:t xml:space="preserve">Acquisition is not idempotent: the search window derives from the</w:t>
      </w:r>
      <w:r>
        <w:t xml:space="preserve"> </w:t>
      </w:r>
      <w:r>
        <w:t xml:space="preserve">current date and the lowest-cloud scene is selected, so re-running selects a different scene and</w:t>
      </w:r>
      <w:r>
        <w:t xml:space="preserve"> </w:t>
      </w:r>
      <w:r>
        <w:t xml:space="preserve">silently invalidates all downstream artifacts. The declared dependency set omits scikit-learn, SHAP,</w:t>
      </w:r>
      <w:r>
        <w:t xml:space="preserve"> </w:t>
      </w:r>
      <w:r>
        <w:t xml:space="preserve">SciPy, XGBoost and the STAC clients, and XGBoost is imported defensively so its benchmark row depends</w:t>
      </w:r>
      <w:r>
        <w:t xml:space="preserve"> </w:t>
      </w:r>
      <w:r>
        <w:t xml:space="preserve">on an undeclared environment. No hardware, runtime or memory metadata is recorded. The public</w:t>
      </w:r>
      <w:r>
        <w:t xml:space="preserve"> </w:t>
      </w:r>
      <w:r>
        <w:t xml:space="preserve">repository excludes all data and result directories.</w:t>
      </w:r>
    </w:p>
    <w:p>
      <w:pPr>
        <w:pStyle w:val="BodyText"/>
      </w:pPr>
      <w:r>
        <w:rPr>
          <w:b/>
          <w:bCs/>
        </w:rPr>
        <w:t xml:space="preserve">L12 — Solver robustness.</w:t>
      </w:r>
      <w:r>
        <w:t xml:space="preserve"> </w:t>
      </w:r>
      <w:r>
        <w:t xml:space="preserve">25 of 500 sensitivity runs hit the time limit and are recorded as</w:t>
      </w:r>
      <w:r>
        <w:t xml:space="preserve"> </w:t>
      </w:r>
      <w:r>
        <w:t xml:space="preserve">missing values; no MIP gap is passed in that experiment. Equity targets at or below 0.6 are inert in</w:t>
      </w:r>
      <w:r>
        <w:t xml:space="preserve"> </w:t>
      </w:r>
      <w:r>
        <w:t xml:space="preserve">both reported configurations.</w:t>
      </w:r>
    </w:p>
    <w:p>
      <w:pPr>
        <w:pStyle w:val="BodyText"/>
      </w:pPr>
      <w:r>
        <w:rPr>
          <w:b/>
          <w:bCs/>
        </w:rPr>
        <w:t xml:space="preserve">L13 — No verified prior formulation.</w:t>
      </w:r>
      <w:r>
        <w:t xml:space="preserve"> </w:t>
      </w:r>
      <w:r>
        <w:t xml:space="preserve">We could not verify a peer-reviewed mixed-integer or linear</w:t>
      </w:r>
      <w:r>
        <w:t xml:space="preserve"> </w:t>
      </w:r>
      <w:r>
        <w:t xml:space="preserve">programme allocating urban heat mitigation under equity constraints. The novelty claim is therefore</w:t>
      </w:r>
      <w:r>
        <w:t xml:space="preserve"> </w:t>
      </w:r>
      <w:r>
        <w:t xml:space="preserve">stated as</w:t>
      </w:r>
      <w:r>
        <w:t xml:space="preserve"> </w:t>
      </w:r>
      <w:r>
        <w:t xml:space="preserve">“no directly comparable framework was identified in the literature we verified”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as an absolute priority claim.</w:t>
      </w:r>
    </w:p>
    <w:p>
      <w:pPr>
        <w:pStyle w:val="BodyText"/>
      </w:pPr>
      <w:r>
        <w:rPr>
          <w:b/>
          <w:bCs/>
        </w:rPr>
        <w:t xml:space="preserve">L14 — Single region, single date.</w:t>
      </w:r>
      <w:r>
        <w:t xml:space="preserve"> </w:t>
      </w:r>
      <w:r>
        <w:t xml:space="preserve">All results are for one bounding box on one acquisition date.</w:t>
      </w:r>
      <w:r>
        <w:t xml:space="preserve"> </w:t>
      </w:r>
      <w:r>
        <w:t xml:space="preserve">Transfer to other cities, other seasons, or other dates is untested, and the region cannot be shown to</w:t>
      </w:r>
      <w:r>
        <w:t xml:space="preserve"> </w:t>
      </w:r>
      <w:r>
        <w:t xml:space="preserve">represent Bengaluru’s administrative area.</w:t>
      </w:r>
    </w:p>
    <w:bookmarkEnd w:id="55"/>
    <w:bookmarkStart w:id="56" w:name="ix.-conclusion"/>
    <w:p>
      <w:pPr>
        <w:pStyle w:val="Heading1"/>
      </w:pPr>
      <w:r>
        <w:t xml:space="preserve">IX. Conclusion</w:t>
      </w:r>
    </w:p>
    <w:p>
      <w:pPr>
        <w:pStyle w:val="FirstParagraph"/>
      </w:pPr>
      <w:r>
        <w:t xml:space="preserve">We presented HeatScope, an auditable pipeline for urban heat exposure mapping and mitigation</w:t>
      </w:r>
      <w:r>
        <w:t xml:space="preserve"> </w:t>
      </w:r>
      <w:r>
        <w:t xml:space="preserve">prioritisation at 250 m resolution for Bengaluru, and we reported its results together with the</w:t>
      </w:r>
      <w:r>
        <w:t xml:space="preserve"> </w:t>
      </w:r>
      <w:r>
        <w:t xml:space="preserve">findings that constrain how they may be used. Spatially structured validation across 240 blocks, a</w:t>
      </w:r>
      <w:r>
        <w:t xml:space="preserve"> </w:t>
      </w:r>
      <w:r>
        <w:t xml:space="preserve">3.62% RMSE improvement from neighbourhood context, 94.94% empirical interval coverage with an</w:t>
      </w:r>
      <w:r>
        <w:t xml:space="preserve"> </w:t>
      </w:r>
      <w:r>
        <w:t xml:space="preserve">exposed 87.85% coverage deficit in the hottest quintile, and an equity-constrained allocation in which</w:t>
      </w:r>
      <w:r>
        <w:t xml:space="preserve"> </w:t>
      </w:r>
      <w:r>
        <w:t xml:space="preserve">a 70% benefit-share floor costs 18.76% of benefit, together constitute the empirical contribution.</w:t>
      </w:r>
    </w:p>
    <w:p>
      <w:pPr>
        <w:pStyle w:val="BodyText"/>
      </w:pPr>
      <w:r>
        <w:t xml:space="preserve">The negative results are equally part of that contribution. We established that a widely used pair of</w:t>
      </w:r>
      <w:r>
        <w:t xml:space="preserve"> </w:t>
      </w:r>
      <w:r>
        <w:t xml:space="preserve">spectral indices is algebraically redundant; that cell-invariant effect coefficients cannot influence</w:t>
      </w:r>
      <w:r>
        <w:t xml:space="preserve"> </w:t>
      </w:r>
      <w:r>
        <w:t xml:space="preserve">allocation preference; that pooled coverage metrics conceal a systematic failure in the hottest</w:t>
      </w:r>
      <w:r>
        <w:t xml:space="preserve"> </w:t>
      </w:r>
      <w:r>
        <w:t xml:space="preserve">quintile; and that six claims one might reasonably have expected to hold — heatwave intensity,</w:t>
      </w:r>
      <w:r>
        <w:t xml:space="preserve"> </w:t>
      </w:r>
      <w:r>
        <w:t xml:space="preserve">causal attribution, air-temperature prediction, conformal coverage, physical benefit units, and</w:t>
      </w:r>
      <w:r>
        <w:t xml:space="preserve"> </w:t>
      </w:r>
      <w:r>
        <w:t xml:space="preserve">methodological novelty — do not hold for this system and are reported here as such.</w:t>
      </w:r>
    </w:p>
    <w:p>
      <w:pPr>
        <w:pStyle w:val="BodyText"/>
      </w:pPr>
      <w:r>
        <w:t xml:space="preserve">Priority for future work follows directly: build a multi-date hot-season composite so that the target</w:t>
      </w:r>
      <w:r>
        <w:t xml:space="preserve"> </w:t>
      </w:r>
      <w:r>
        <w:t xml:space="preserve">is a temporal statistic; obtain the socioeconomic layers required for an equity criterion that is not</w:t>
      </w:r>
      <w:r>
        <w:t xml:space="preserve"> </w:t>
      </w:r>
      <w:r>
        <w:t xml:space="preserve">a restatement of population density; replace the symmetric interval construction with a</w:t>
      </w:r>
      <w:r>
        <w:t xml:space="preserve"> </w:t>
      </w:r>
      <w:r>
        <w:t xml:space="preserve">heteroscedastic, split-disjoint scheme that can widen where the model is over-confident; and calibrate</w:t>
      </w:r>
      <w:r>
        <w:t xml:space="preserve"> </w:t>
      </w:r>
      <w:r>
        <w:t xml:space="preserve">cost, effect and capacity parameters against observed outcomes so that the allocation stage produces</w:t>
      </w:r>
      <w:r>
        <w:t xml:space="preserve"> </w:t>
      </w:r>
      <w:r>
        <w:t xml:space="preserve">quantities with physical units. Code, intermediate artifacts, and the full audit trail accompanying</w:t>
      </w:r>
      <w:r>
        <w:t xml:space="preserve"> </w:t>
      </w:r>
      <w:r>
        <w:t xml:space="preserve">this paper are available at the project repository.</w:t>
      </w:r>
    </w:p>
    <w:bookmarkEnd w:id="56"/>
    <w:bookmarkStart w:id="57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 thanks the maintainers of the Landsat, WorldPop and Overture Maps programmes for open</w:t>
      </w:r>
      <w:r>
        <w:t xml:space="preserve"> </w:t>
      </w:r>
      <w:r>
        <w:t xml:space="preserve">access to the data products used in this work.</w:t>
      </w:r>
    </w:p>
    <w:bookmarkEnd w:id="57"/>
    <w:bookmarkStart w:id="5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U.S. Geological Survey,</w:t>
      </w:r>
      <w:r>
        <w:t xml:space="preserve"> </w:t>
      </w:r>
      <w:r>
        <w:t xml:space="preserve">“How do I use a scale factor for Landsat Level-2 science products?”</w:t>
      </w:r>
      <w:r>
        <w:t xml:space="preserve"> </w:t>
      </w:r>
      <w:r>
        <w:t xml:space="preserve">Landsat Collection 2 FAQ, U.S. Department of the Interior. [Online]. Available:</w:t>
      </w:r>
      <w:r>
        <w:t xml:space="preserve"> </w:t>
      </w:r>
      <w:r>
        <w:t xml:space="preserve">https://www.usgs.gov/faqs/how-do-i-use-a-scale-factor-landsat-level-2-science-products</w:t>
      </w:r>
    </w:p>
    <w:p>
      <w:pPr>
        <w:pStyle w:val="BodyText"/>
      </w:pPr>
      <w:r>
        <w:t xml:space="preserve">[2] U.S. Geological Survey EROS,</w:t>
      </w:r>
      <w:r>
        <w:t xml:space="preserve"> </w:t>
      </w:r>
      <w:r>
        <w:t xml:space="preserve">“Landsat Collection 2 surface temperature.”</w:t>
      </w:r>
      <w:r>
        <w:t xml:space="preserve"> </w:t>
      </w:r>
      <w:r>
        <w:t xml:space="preserve">[Online]. Available:</w:t>
      </w:r>
      <w:r>
        <w:t xml:space="preserve"> </w:t>
      </w:r>
      <w:r>
        <w:t xml:space="preserve">https://www.usgs.gov/landsat-missions/landsat-collection-2-surface-temperature</w:t>
      </w:r>
    </w:p>
    <w:p>
      <w:pPr>
        <w:pStyle w:val="BodyText"/>
      </w:pPr>
      <w:r>
        <w:t xml:space="preserve">[3] X. Meng, J. Cheng, B. Yao, and Y. Guo,</w:t>
      </w:r>
      <w:r>
        <w:t xml:space="preserve"> </w:t>
      </w:r>
      <w:r>
        <w:t xml:space="preserve">“Validation of the ECOSTRESS land surface temperature</w:t>
      </w:r>
      <w:r>
        <w:t xml:space="preserve"> </w:t>
      </w:r>
      <w:r>
        <w:t xml:space="preserve">product using ground measurements,”</w:t>
      </w:r>
      <w:r>
        <w:t xml:space="preserve"> </w:t>
      </w:r>
      <w:r>
        <w:rPr>
          <w:i/>
          <w:iCs/>
        </w:rPr>
        <w:t xml:space="preserve">IEEE Geosci. Remote Sens. Lett.</w:t>
      </w:r>
      <w:r>
        <w:t xml:space="preserve">, vol. 19, pp. 1–5, 2022.</w:t>
      </w:r>
    </w:p>
    <w:p>
      <w:pPr>
        <w:pStyle w:val="BodyText"/>
      </w:pPr>
      <w:r>
        <w:t xml:space="preserve">[4] S. Li, J. Wang, D. Li, Z. Ran, and B. Yang,</w:t>
      </w:r>
      <w:r>
        <w:t xml:space="preserve"> </w:t>
      </w:r>
      <w:r>
        <w:t xml:space="preserve">“Evaluation of Landsat 8-like land surface temperature</w:t>
      </w:r>
      <w:r>
        <w:t xml:space="preserve"> </w:t>
      </w:r>
      <w:r>
        <w:t xml:space="preserve">by fusing Landsat 8 and MODIS land surface temperature product,”</w:t>
      </w:r>
      <w:r>
        <w:t xml:space="preserve"> </w:t>
      </w:r>
      <w:r>
        <w:rPr>
          <w:i/>
          <w:iCs/>
        </w:rPr>
        <w:t xml:space="preserve">Processes</w:t>
      </w:r>
      <w:r>
        <w:t xml:space="preserve">, vol. 9, no. 12,</w:t>
      </w:r>
      <w:r>
        <w:t xml:space="preserve"> </w:t>
      </w:r>
      <w:r>
        <w:t xml:space="preserve">art. 2262, 2021.</w:t>
      </w:r>
    </w:p>
    <w:p>
      <w:pPr>
        <w:pStyle w:val="BodyText"/>
      </w:pPr>
      <w:r>
        <w:t xml:space="preserve">[5] J. A. Voogt and T. R. Oke,</w:t>
      </w:r>
      <w:r>
        <w:t xml:space="preserve"> </w:t>
      </w:r>
      <w:r>
        <w:t xml:space="preserve">“Thermal remote sensing of urban climates,”</w:t>
      </w:r>
      <w:r>
        <w:t xml:space="preserve"> </w:t>
      </w:r>
      <w:r>
        <w:rPr>
          <w:i/>
          <w:iCs/>
        </w:rPr>
        <w:t xml:space="preserve">Remote Sens. Environ.</w:t>
      </w:r>
      <w:r>
        <w:t xml:space="preserve">,</w:t>
      </w:r>
      <w:r>
        <w:t xml:space="preserve"> </w:t>
      </w:r>
      <w:r>
        <w:t xml:space="preserve">vol. 86, no. 3, pp. 370–384, 2003.</w:t>
      </w:r>
    </w:p>
    <w:p>
      <w:pPr>
        <w:pStyle w:val="BodyText"/>
      </w:pPr>
      <w:r>
        <w:t xml:space="preserve">[6] D. Zhou et al.,</w:t>
      </w:r>
      <w:r>
        <w:t xml:space="preserve"> </w:t>
      </w:r>
      <w:r>
        <w:t xml:space="preserve">“Satellite remote sensing of surface urban heat islands: progress, challenges, and</w:t>
      </w:r>
      <w:r>
        <w:t xml:space="preserve"> </w:t>
      </w:r>
      <w:r>
        <w:t xml:space="preserve">perspectives,”</w:t>
      </w:r>
      <w:r>
        <w:t xml:space="preserve"> </w:t>
      </w:r>
      <w:r>
        <w:rPr>
          <w:i/>
          <w:iCs/>
        </w:rPr>
        <w:t xml:space="preserve">Remote Sens.</w:t>
      </w:r>
      <w:r>
        <w:t xml:space="preserve">, vol. 11, no. 1, art. 48, 2019.</w:t>
      </w:r>
    </w:p>
    <w:p>
      <w:pPr>
        <w:pStyle w:val="BodyText"/>
      </w:pPr>
      <w:r>
        <w:t xml:space="preserve">[7] C. R. Almeida, A. C. Teodoro, and A. Gonçalves,</w:t>
      </w:r>
      <w:r>
        <w:t xml:space="preserve"> </w:t>
      </w:r>
      <w:r>
        <w:t xml:space="preserve">“Study of the urban heat island (UHI) using remote</w:t>
      </w:r>
      <w:r>
        <w:t xml:space="preserve"> </w:t>
      </w:r>
      <w:r>
        <w:t xml:space="preserve">sensing data/techniques: a systematic review,”</w:t>
      </w:r>
      <w:r>
        <w:t xml:space="preserve"> </w:t>
      </w:r>
      <w:r>
        <w:rPr>
          <w:i/>
          <w:iCs/>
        </w:rPr>
        <w:t xml:space="preserve">Environments</w:t>
      </w:r>
      <w:r>
        <w:t xml:space="preserve">, vol. 8, no. 10, art. 105, 2021.</w:t>
      </w:r>
    </w:p>
    <w:p>
      <w:pPr>
        <w:pStyle w:val="BodyText"/>
      </w:pPr>
      <w:r>
        <w:t xml:space="preserve">[8] M. Santamouris,</w:t>
      </w:r>
      <w:r>
        <w:t xml:space="preserve"> </w:t>
      </w:r>
      <w:r>
        <w:t xml:space="preserve">“Recent progress on urban overheating and heat island research. Integrated</w:t>
      </w:r>
      <w:r>
        <w:t xml:space="preserve"> </w:t>
      </w:r>
      <w:r>
        <w:t xml:space="preserve">assessment of the energy, environmental, vulnerability and health impact,”</w:t>
      </w:r>
      <w:r>
        <w:t xml:space="preserve"> </w:t>
      </w:r>
      <w:r>
        <w:rPr>
          <w:i/>
          <w:iCs/>
        </w:rPr>
        <w:t xml:space="preserve">Energy Build.</w:t>
      </w:r>
      <w:r>
        <w:t xml:space="preserve">, vol. 207,</w:t>
      </w:r>
      <w:r>
        <w:t xml:space="preserve"> </w:t>
      </w:r>
      <w:r>
        <w:t xml:space="preserve">art. 109482, 2020.</w:t>
      </w:r>
    </w:p>
    <w:p>
      <w:pPr>
        <w:pStyle w:val="BodyText"/>
      </w:pPr>
      <w:r>
        <w:t xml:space="preserve">[9] K. Deilami, M. Kamruzzaman, and Q. Liu,</w:t>
      </w:r>
      <w:r>
        <w:t xml:space="preserve"> </w:t>
      </w:r>
      <w:r>
        <w:t xml:space="preserve">“Urban heat island effect: a systematic review of</w:t>
      </w:r>
      <w:r>
        <w:t xml:space="preserve"> </w:t>
      </w:r>
      <w:r>
        <w:t xml:space="preserve">spatio-temporal factors, data, methods, and mitigation measures,”</w:t>
      </w:r>
      <w:r>
        <w:t xml:space="preserve"> </w:t>
      </w:r>
      <w:r>
        <w:rPr>
          <w:i/>
          <w:iCs/>
        </w:rPr>
        <w:t xml:space="preserve">Int. J. Appl. Earth Obs.</w:t>
      </w:r>
      <w:r>
        <w:rPr>
          <w:i/>
          <w:iCs/>
        </w:rPr>
        <w:t xml:space="preserve"> </w:t>
      </w:r>
      <w:r>
        <w:rPr>
          <w:i/>
          <w:iCs/>
        </w:rPr>
        <w:t xml:space="preserve">Geoinf.</w:t>
      </w:r>
      <w:r>
        <w:t xml:space="preserve">, vol. 67, pp. 30–42, 2018.</w:t>
      </w:r>
    </w:p>
    <w:p>
      <w:pPr>
        <w:pStyle w:val="BodyText"/>
      </w:pPr>
      <w:r>
        <w:t xml:space="preserve">[10] G. Manoli et al.,</w:t>
      </w:r>
      <w:r>
        <w:t xml:space="preserve"> </w:t>
      </w:r>
      <w:r>
        <w:t xml:space="preserve">“Magnitude of urban heat islands largely explained by climate and population,”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 573, no. 7772, pp. 55–60, 2019.</w:t>
      </w:r>
    </w:p>
    <w:p>
      <w:pPr>
        <w:pStyle w:val="BodyText"/>
      </w:pPr>
      <w:r>
        <w:t xml:space="preserve">[11] C. Heaviside, H. Macintyre, and S. Vardoulakis,</w:t>
      </w:r>
      <w:r>
        <w:t xml:space="preserve"> </w:t>
      </w:r>
      <w:r>
        <w:t xml:space="preserve">“The urban heat island: implications for health in</w:t>
      </w:r>
      <w:r>
        <w:t xml:space="preserve"> </w:t>
      </w:r>
      <w:r>
        <w:t xml:space="preserve">a changing environment,”</w:t>
      </w:r>
      <w:r>
        <w:t xml:space="preserve"> </w:t>
      </w:r>
      <w:r>
        <w:rPr>
          <w:i/>
          <w:iCs/>
        </w:rPr>
        <w:t xml:space="preserve">Curr. Environ. Health Rep.</w:t>
      </w:r>
      <w:r>
        <w:t xml:space="preserve">, vol. 4, no. 3, pp. 296–305, 2017.</w:t>
      </w:r>
    </w:p>
    <w:p>
      <w:pPr>
        <w:pStyle w:val="BodyText"/>
      </w:pPr>
      <w:r>
        <w:t xml:space="preserve">[12] E. L. Kruger, C. A. Tamura, P. Bröde, M. Schweiker, and A. Wagner,</w:t>
      </w:r>
      <w:r>
        <w:t xml:space="preserve"> </w:t>
      </w:r>
      <w:r>
        <w:t xml:space="preserve">“Short- and long-term</w:t>
      </w:r>
      <w:r>
        <w:t xml:space="preserve"> </w:t>
      </w:r>
      <w:r>
        <w:t xml:space="preserve">acclimatization in outdoor spaces: exposure time, seasonal and heatwave adaptation effects,”</w:t>
      </w:r>
      <w:r>
        <w:t xml:space="preserve"> </w:t>
      </w:r>
      <w:r>
        <w:rPr>
          <w:i/>
          <w:iCs/>
        </w:rPr>
        <w:t xml:space="preserve">Build.</w:t>
      </w:r>
      <w:r>
        <w:rPr>
          <w:i/>
          <w:iCs/>
        </w:rPr>
        <w:t xml:space="preserve"> </w:t>
      </w:r>
      <w:r>
        <w:rPr>
          <w:i/>
          <w:iCs/>
        </w:rPr>
        <w:t xml:space="preserve">Environ.</w:t>
      </w:r>
      <w:r>
        <w:t xml:space="preserve">, vol. 116, pp. 17–29, 2017.</w:t>
      </w:r>
    </w:p>
    <w:p>
      <w:pPr>
        <w:pStyle w:val="BodyText"/>
      </w:pPr>
      <w:r>
        <w:t xml:space="preserve">[13] N. Mondal and P. Anand,</w:t>
      </w:r>
      <w:r>
        <w:t xml:space="preserve"> </w:t>
      </w:r>
      <w:r>
        <w:t xml:space="preserve">“Influence of urbanization on heat exposure risk across Indian cities,”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135, art. 106960, 2025.</w:t>
      </w:r>
    </w:p>
    <w:p>
      <w:pPr>
        <w:pStyle w:val="BodyText"/>
      </w:pPr>
      <w:r>
        <w:t xml:space="preserve">[14] A. Hsu, G. Sheriff, T. Chakraborty, and D. Manya,</w:t>
      </w:r>
      <w:r>
        <w:t xml:space="preserve"> </w:t>
      </w:r>
      <w:r>
        <w:t xml:space="preserve">“Disproportionate exposure to urban heat island</w:t>
      </w:r>
      <w:r>
        <w:t xml:space="preserve"> </w:t>
      </w:r>
      <w:r>
        <w:t xml:space="preserve">intensity across major US cities,”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, vol. 12, no. 1, art. 2721, 2021.</w:t>
      </w:r>
    </w:p>
    <w:p>
      <w:pPr>
        <w:pStyle w:val="BodyText"/>
      </w:pPr>
      <w:r>
        <w:t xml:space="preserve">[15] B.-C. Gao,</w:t>
      </w:r>
      <w:r>
        <w:t xml:space="preserve"> </w:t>
      </w:r>
      <w:r>
        <w:t xml:space="preserve">“NDWI — A normalized difference water index for remote sensing of vegetation liquid</w:t>
      </w:r>
      <w:r>
        <w:t xml:space="preserve"> </w:t>
      </w:r>
      <w:r>
        <w:t xml:space="preserve">water from space,”</w:t>
      </w:r>
      <w:r>
        <w:t xml:space="preserve"> </w:t>
      </w:r>
      <w:r>
        <w:rPr>
          <w:i/>
          <w:iCs/>
        </w:rPr>
        <w:t xml:space="preserve">Remote Sens. Environ.</w:t>
      </w:r>
      <w:r>
        <w:t xml:space="preserve">, vol. 58, no. 3, pp. 257–266, 1996.</w:t>
      </w:r>
    </w:p>
    <w:p>
      <w:pPr>
        <w:pStyle w:val="BodyText"/>
      </w:pPr>
      <w:r>
        <w:t xml:space="preserve">[16] Y. Zha, J. Gao, and S. Ni,</w:t>
      </w:r>
      <w:r>
        <w:t xml:space="preserve"> </w:t>
      </w:r>
      <w:r>
        <w:t xml:space="preserve">“Use of normalized difference built-up index in automatically mapping</w:t>
      </w:r>
      <w:r>
        <w:t xml:space="preserve"> </w:t>
      </w:r>
      <w:r>
        <w:t xml:space="preserve">urban areas from TM imagery,”</w:t>
      </w:r>
      <w:r>
        <w:t xml:space="preserve"> </w:t>
      </w:r>
      <w:r>
        <w:rPr>
          <w:i/>
          <w:iCs/>
        </w:rPr>
        <w:t xml:space="preserve">Int. J. Remote Sens.</w:t>
      </w:r>
      <w:r>
        <w:t xml:space="preserve">, vol. 24, no. 3, pp. 583–594, 2003.</w:t>
      </w:r>
    </w:p>
    <w:p>
      <w:pPr>
        <w:pStyle w:val="BodyText"/>
      </w:pPr>
      <w:r>
        <w:t xml:space="preserve">[17] J. W. Rouse, S. N. Goward, and V. I. V,</w:t>
      </w:r>
      <w:r>
        <w:t xml:space="preserve"> </w:t>
      </w:r>
      <w:r>
        <w:t xml:space="preserve">“Vegetation in sensor space,”</w:t>
      </w:r>
      <w:r>
        <w:t xml:space="preserve"> </w:t>
      </w:r>
      <w:r>
        <w:rPr>
          <w:i/>
          <w:iCs/>
        </w:rPr>
        <w:t xml:space="preserve">Remote Sens. Environ.</w:t>
      </w:r>
      <w:r>
        <w:t xml:space="preserve">,</w:t>
      </w:r>
      <w:r>
        <w:t xml:space="preserve"> </w:t>
      </w:r>
      <w:r>
        <w:t xml:space="preserve">vol. 3, pp. 295–309, 1974.</w:t>
      </w:r>
    </w:p>
    <w:p>
      <w:pPr>
        <w:pStyle w:val="BodyText"/>
      </w:pPr>
      <w:r>
        <w:t xml:space="preserve">[18] C. T. Lloyd, A. Sorichetta, and A. J. Tatem,</w:t>
      </w:r>
      <w:r>
        <w:t xml:space="preserve"> </w:t>
      </w:r>
      <w:r>
        <w:t xml:space="preserve">“High resolution global gridded data for use in</w:t>
      </w:r>
      <w:r>
        <w:t xml:space="preserve"> </w:t>
      </w:r>
      <w:r>
        <w:t xml:space="preserve">population studies,”</w:t>
      </w:r>
      <w:r>
        <w:t xml:space="preserve"> </w:t>
      </w:r>
      <w:r>
        <w:rPr>
          <w:i/>
          <w:iCs/>
        </w:rPr>
        <w:t xml:space="preserve">Sci. Data</w:t>
      </w:r>
      <w:r>
        <w:t xml:space="preserve">, vol. 4, art. 170001, 2017.</w:t>
      </w:r>
    </w:p>
    <w:p>
      <w:pPr>
        <w:pStyle w:val="BodyText"/>
      </w:pPr>
      <w:r>
        <w:t xml:space="preserve">[19] F. R. Stevens, A. E. Gaughan, C. Linard, and A. J. Tatem,</w:t>
      </w:r>
      <w:r>
        <w:t xml:space="preserve"> </w:t>
      </w:r>
      <w:r>
        <w:t xml:space="preserve">“Disaggregating census data for</w:t>
      </w:r>
      <w:r>
        <w:t xml:space="preserve"> </w:t>
      </w:r>
      <w:r>
        <w:t xml:space="preserve">population mapping using remotely-sensed and ancillary data,”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10, no. 2, e0107042,</w:t>
      </w:r>
      <w:r>
        <w:t xml:space="preserve"> </w:t>
      </w:r>
      <w:r>
        <w:t xml:space="preserve">2015.</w:t>
      </w:r>
    </w:p>
    <w:p>
      <w:pPr>
        <w:pStyle w:val="BodyText"/>
      </w:pPr>
      <w:r>
        <w:t xml:space="preserve">[20] WorldPop, University of Southampton,</w:t>
      </w:r>
      <w:r>
        <w:t xml:space="preserve"> </w:t>
      </w:r>
      <w:r>
        <w:t xml:space="preserve">“WorldPop global high resolution population denominators</w:t>
      </w:r>
      <w:r>
        <w:t xml:space="preserve"> </w:t>
      </w:r>
      <w:r>
        <w:t xml:space="preserve">project (100m),”</w:t>
      </w:r>
      <w:r>
        <w:t xml:space="preserve"> </w:t>
      </w:r>
      <w:r>
        <w:t xml:space="preserve">doi: 10.5258/SOTON/WP00107.</w:t>
      </w:r>
    </w:p>
    <w:p>
      <w:pPr>
        <w:pStyle w:val="BodyText"/>
      </w:pPr>
      <w:r>
        <w:t xml:space="preserve">[21] Overture Maps Foundation,</w:t>
      </w:r>
      <w:r>
        <w:t xml:space="preserve"> </w:t>
      </w:r>
      <w:r>
        <w:t xml:space="preserve">“Buildings theme,”</w:t>
      </w:r>
      <w:r>
        <w:t xml:space="preserve"> </w:t>
      </w:r>
      <w:r>
        <w:rPr>
          <w:i/>
          <w:iCs/>
        </w:rPr>
        <w:t xml:space="preserve">Overture Maps documentation</w:t>
      </w:r>
      <w:r>
        <w:t xml:space="preserve">, release snapshot</w:t>
      </w:r>
      <w:r>
        <w:t xml:space="preserve"> </w:t>
      </w:r>
      <w:r>
        <w:t xml:space="preserve">2026-08-13, ODbL. [Online]. Available: https://docs.overturemaps.org/</w:t>
      </w:r>
    </w:p>
    <w:p>
      <w:pPr>
        <w:pStyle w:val="BodyText"/>
      </w:pPr>
      <w:r>
        <w:t xml:space="preserve">[22] J. H. Friedman,</w:t>
      </w:r>
      <w:r>
        <w:t xml:space="preserve"> </w:t>
      </w:r>
      <w:r>
        <w:t xml:space="preserve">“Greedy function approximation: a gradient boosting machine,”</w:t>
      </w:r>
      <w:r>
        <w:t xml:space="preserve"> </w:t>
      </w:r>
      <w:r>
        <w:rPr>
          <w:i/>
          <w:iCs/>
        </w:rPr>
        <w:t xml:space="preserve">Ann. Stat.</w:t>
      </w:r>
      <w:r>
        <w:t xml:space="preserve">,</w:t>
      </w:r>
      <w:r>
        <w:t xml:space="preserve"> </w:t>
      </w:r>
      <w:r>
        <w:t xml:space="preserve">vol. 29, no. 5, pp. 1189–1231, 2001.</w:t>
      </w:r>
    </w:p>
    <w:p>
      <w:pPr>
        <w:pStyle w:val="BodyText"/>
      </w:pPr>
      <w:r>
        <w:t xml:space="preserve">[23] 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</w:t>
      </w:r>
      <w:r>
        <w:rPr>
          <w:i/>
          <w:iCs/>
        </w:rPr>
        <w:t xml:space="preserve"> </w:t>
      </w:r>
      <w:r>
        <w:rPr>
          <w:i/>
          <w:iCs/>
        </w:rPr>
        <w:t xml:space="preserve">Int. Conf. Knowl. Discov. Data Mining</w:t>
      </w:r>
      <w:r>
        <w:t xml:space="preserve">, 2016, pp. 785–794.</w:t>
      </w:r>
    </w:p>
    <w:p>
      <w:pPr>
        <w:pStyle w:val="BodyText"/>
      </w:pPr>
      <w:r>
        <w:t xml:space="preserve">[24] P. Geurts, D. Ernst, and L. Wehenkel,</w:t>
      </w:r>
      <w:r>
        <w:t xml:space="preserve"> </w:t>
      </w:r>
      <w:r>
        <w:t xml:space="preserve">“Extremely randomized trees,”</w:t>
      </w:r>
      <w:r>
        <w:t xml:space="preserve"> </w:t>
      </w:r>
      <w:r>
        <w:rPr>
          <w:i/>
          <w:iCs/>
        </w:rPr>
        <w:t xml:space="preserve">Mach. Learn.</w:t>
      </w:r>
      <w:r>
        <w:t xml:space="preserve">, vol. 63,</w:t>
      </w:r>
      <w:r>
        <w:t xml:space="preserve"> </w:t>
      </w:r>
      <w:r>
        <w:t xml:space="preserve">no. 1, pp. 3–42, 2006.</w:t>
      </w:r>
    </w:p>
    <w:p>
      <w:pPr>
        <w:pStyle w:val="BodyText"/>
      </w:pPr>
      <w:r>
        <w:t xml:space="preserve">[25] L. 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Mach. Learn.</w:t>
      </w:r>
      <w:r>
        <w:t xml:space="preserve">, vol. 45, no. 1, pp. 5–32, 2001.</w:t>
      </w:r>
    </w:p>
    <w:p>
      <w:pPr>
        <w:pStyle w:val="BodyText"/>
      </w:pPr>
      <w:r>
        <w:t xml:space="preserve">[26] D. R. Roberts et al.,</w:t>
      </w:r>
      <w:r>
        <w:t xml:space="preserve"> </w:t>
      </w:r>
      <w:r>
        <w:t xml:space="preserve">“Cross-validation strategies for data with temporal, spatial, hierarchical,</w:t>
      </w:r>
      <w:r>
        <w:t xml:space="preserve"> </w:t>
      </w:r>
      <w:r>
        <w:t xml:space="preserve">or phylogenetic structure,”</w:t>
      </w:r>
      <w:r>
        <w:t xml:space="preserve"> </w:t>
      </w:r>
      <w:r>
        <w:rPr>
          <w:i/>
          <w:iCs/>
        </w:rPr>
        <w:t xml:space="preserve">Ecography</w:t>
      </w:r>
      <w:r>
        <w:t xml:space="preserve">, vol. 40, no. 8, pp. 913–929, 2017.</w:t>
      </w:r>
    </w:p>
    <w:p>
      <w:pPr>
        <w:pStyle w:val="BodyText"/>
      </w:pPr>
      <w:r>
        <w:t xml:space="preserve">[27] P. Ploton et al.,</w:t>
      </w:r>
      <w:r>
        <w:t xml:space="preserve"> </w:t>
      </w:r>
      <w:r>
        <w:t xml:space="preserve">“Spatial validation reveals poor predictive performance of large-scale ecological</w:t>
      </w:r>
      <w:r>
        <w:t xml:space="preserve"> </w:t>
      </w:r>
      <w:r>
        <w:t xml:space="preserve">mapping models,”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, vol. 11, no. 1, art. 4540, 2020.</w:t>
      </w:r>
    </w:p>
    <w:p>
      <w:pPr>
        <w:pStyle w:val="BodyText"/>
      </w:pPr>
      <w:r>
        <w:t xml:space="preserve">[28] S. M. Lundberg, G. Erion, H. Chen, A. DeGrave, J. M. Prutkin, B. Nair, R. Katz, J. Himmelfarb,</w:t>
      </w:r>
      <w:r>
        <w:t xml:space="preserve"> </w:t>
      </w:r>
      <w:r>
        <w:t xml:space="preserve">N. Bansal, and S.-I. Lee,</w:t>
      </w:r>
      <w:r>
        <w:t xml:space="preserve"> </w:t>
      </w:r>
      <w:r>
        <w:t xml:space="preserve">“From local explanations to global understanding with explainable AI for</w:t>
      </w:r>
      <w:r>
        <w:t xml:space="preserve"> </w:t>
      </w:r>
      <w:r>
        <w:t xml:space="preserve">trees,”</w:t>
      </w:r>
      <w:r>
        <w:t xml:space="preserve"> </w:t>
      </w:r>
      <w:r>
        <w:rPr>
          <w:i/>
          <w:iCs/>
        </w:rPr>
        <w:t xml:space="preserve">Nat. Mach. Intell.</w:t>
      </w:r>
      <w:r>
        <w:t xml:space="preserve">, vol. 2, no. 1, pp. 56–67, 2020.</w:t>
      </w:r>
    </w:p>
    <w:p>
      <w:pPr>
        <w:pStyle w:val="BodyText"/>
      </w:pPr>
      <w:r>
        <w:t xml:space="preserve">[29] 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Adv.</w:t>
      </w:r>
      <w:r>
        <w:rPr>
          <w:i/>
          <w:iCs/>
        </w:rPr>
        <w:t xml:space="preserve"> </w:t>
      </w:r>
      <w:r>
        <w:rPr>
          <w:i/>
          <w:iCs/>
        </w:rPr>
        <w:t xml:space="preserve">Neural Inf. Process. Syst.</w:t>
      </w:r>
      <w:r>
        <w:t xml:space="preserve">, vol. 30, 2017.</w:t>
      </w:r>
    </w:p>
    <w:p>
      <w:pPr>
        <w:pStyle w:val="BodyText"/>
      </w:pPr>
      <w:r>
        <w:t xml:space="preserve">[30] J. Lei, M. J. G’Sell, A. Rinaldo, R. J. Tibshirani, and L. Wasserman,</w:t>
      </w:r>
      <w:r>
        <w:t xml:space="preserve"> </w:t>
      </w:r>
      <w:r>
        <w:t xml:space="preserve">“Distribution-free</w:t>
      </w:r>
      <w:r>
        <w:t xml:space="preserve"> </w:t>
      </w:r>
      <w:r>
        <w:t xml:space="preserve">predictive inference for regression,”</w:t>
      </w:r>
      <w:r>
        <w:t xml:space="preserve"> </w:t>
      </w:r>
      <w:r>
        <w:rPr>
          <w:i/>
          <w:iCs/>
        </w:rPr>
        <w:t xml:space="preserve">J. Amer. Stat. Assoc.</w:t>
      </w:r>
      <w:r>
        <w:t xml:space="preserve">, vol. 113, no. 523, pp. 1094–1111, 2018.</w:t>
      </w:r>
    </w:p>
    <w:p>
      <w:pPr>
        <w:pStyle w:val="BodyText"/>
      </w:pPr>
      <w:r>
        <w:t xml:space="preserve">[31] A. N. Angelopoulos and S. Bates,</w:t>
      </w:r>
      <w:r>
        <w:t xml:space="preserve"> </w:t>
      </w:r>
      <w:r>
        <w:t xml:space="preserve">“Conformal prediction: a gentle introduction,”</w:t>
      </w:r>
      <w:r>
        <w:t xml:space="preserve"> </w:t>
      </w:r>
      <w:r>
        <w:rPr>
          <w:i/>
          <w:iCs/>
        </w:rPr>
        <w:t xml:space="preserve">Found. Trends</w:t>
      </w:r>
      <w:r>
        <w:rPr>
          <w:i/>
          <w:iCs/>
        </w:rPr>
        <w:t xml:space="preserve"> </w:t>
      </w:r>
      <w:r>
        <w:rPr>
          <w:i/>
          <w:iCs/>
        </w:rPr>
        <w:t xml:space="preserve">Mach. Learn.</w:t>
      </w:r>
      <w:r>
        <w:t xml:space="preserve">, vol. 16, no. 4, pp. 494–591, 2023.</w:t>
      </w:r>
    </w:p>
    <w:p>
      <w:pPr>
        <w:pStyle w:val="BodyText"/>
      </w:pPr>
      <w:r>
        <w:t xml:space="preserve">[32] A. Saltelli, K. Aleksankina, W. Becker, P. Fennell, F. Ferretti, N. Holst, S. Li, and Q. Wu,</w:t>
      </w:r>
      <w:r>
        <w:t xml:space="preserve"> </w:t>
      </w:r>
      <w:r>
        <w:t xml:space="preserve">“Why</w:t>
      </w:r>
      <w:r>
        <w:t xml:space="preserve"> </w:t>
      </w:r>
      <w:r>
        <w:t xml:space="preserve">so many published sensitivity analyses are false: a systematic review of sensitivity analysis</w:t>
      </w:r>
      <w:r>
        <w:t xml:space="preserve"> </w:t>
      </w:r>
      <w:r>
        <w:t xml:space="preserve">practices,”</w:t>
      </w:r>
      <w:r>
        <w:t xml:space="preserve"> </w:t>
      </w:r>
      <w:r>
        <w:rPr>
          <w:i/>
          <w:iCs/>
        </w:rPr>
        <w:t xml:space="preserve">Environ. Model. Softw.</w:t>
      </w:r>
      <w:r>
        <w:t xml:space="preserve">, vol. 114, pp. 29–39, 2019.</w:t>
      </w:r>
    </w:p>
    <w:p>
      <w:pPr>
        <w:pStyle w:val="BodyText"/>
      </w:pPr>
      <w:r>
        <w:t xml:space="preserve">[33] E. K. Chu and C. E. B. Cannon,</w:t>
      </w:r>
      <w:r>
        <w:t xml:space="preserve"> </w:t>
      </w:r>
      <w:r>
        <w:t xml:space="preserve">“Equity, inclusion, and justice as criteria for decision-making on</w:t>
      </w:r>
      <w:r>
        <w:t xml:space="preserve"> </w:t>
      </w:r>
      <w:r>
        <w:t xml:space="preserve">climate adaptation in cities,”</w:t>
      </w:r>
      <w:r>
        <w:t xml:space="preserve"> </w:t>
      </w:r>
      <w:r>
        <w:rPr>
          <w:i/>
          <w:iCs/>
        </w:rPr>
        <w:t xml:space="preserve">Curr. Opin. Environ. Sustain.</w:t>
      </w:r>
      <w:r>
        <w:t xml:space="preserve">, vol. 51, pp. 85–94, 2021.</w:t>
      </w:r>
    </w:p>
    <w:p>
      <w:pPr>
        <w:pStyle w:val="BodyText"/>
      </w:pPr>
      <w:r>
        <w:t xml:space="preserve">[34] S. Juhola, M. Heikkinen, T. Pietilä, F. Groundstroem, and J. Käyhkö,</w:t>
      </w:r>
      <w:r>
        <w:t xml:space="preserve"> </w:t>
      </w:r>
      <w:r>
        <w:t xml:space="preserve">“Connecting climate justice</w:t>
      </w:r>
      <w:r>
        <w:t xml:space="preserve"> </w:t>
      </w:r>
      <w:r>
        <w:t xml:space="preserve">and adaptation planning: an adaptation justice index,”</w:t>
      </w:r>
      <w:r>
        <w:t xml:space="preserve"> </w:t>
      </w:r>
      <w:r>
        <w:rPr>
          <w:i/>
          <w:iCs/>
        </w:rPr>
        <w:t xml:space="preserve">Environ. Sci. Policy</w:t>
      </w:r>
      <w:r>
        <w:t xml:space="preserve">, vol. 136, pp. 609–619,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[35] C. Carvalho, A. G. Del Campo, and D. de Carvalho Cabral,</w:t>
      </w:r>
      <w:r>
        <w:t xml:space="preserve"> </w:t>
      </w:r>
      <w:r>
        <w:t xml:space="preserve">“Scales of inequality: the role of spatial</w:t>
      </w:r>
      <w:r>
        <w:t xml:space="preserve"> </w:t>
      </w:r>
      <w:r>
        <w:t xml:space="preserve">extent in environmental justice analysis,”</w:t>
      </w:r>
      <w:r>
        <w:t xml:space="preserve"> </w:t>
      </w:r>
      <w:r>
        <w:rPr>
          <w:i/>
          <w:iCs/>
        </w:rPr>
        <w:t xml:space="preserve">Landsc. Urban Plan.</w:t>
      </w:r>
      <w:r>
        <w:t xml:space="preserve">, vol. 221, art. 104369, 2022.</w:t>
      </w:r>
    </w:p>
    <w:p>
      <w:pPr>
        <w:pStyle w:val="BodyText"/>
      </w:pPr>
      <w:r>
        <w:t xml:space="preserve">[36] S. Kanga et al.,</w:t>
      </w:r>
      <w:r>
        <w:t xml:space="preserve"> </w:t>
      </w:r>
      <w:r>
        <w:t xml:space="preserve">“Understanding the linkage between urban growth and land surface temperature —</w:t>
      </w:r>
      <w:r>
        <w:t xml:space="preserve"> </w:t>
      </w:r>
      <w:r>
        <w:t xml:space="preserve">a case study of Bangalore city, India,”</w:t>
      </w:r>
      <w:r>
        <w:t xml:space="preserve"> </w:t>
      </w:r>
      <w:r>
        <w:rPr>
          <w:i/>
          <w:iCs/>
        </w:rPr>
        <w:t xml:space="preserve">Remote Sens.</w:t>
      </w:r>
      <w:r>
        <w:t xml:space="preserve">, vol. 14, no. 17, art. 4241, 2022.</w:t>
      </w:r>
    </w:p>
    <w:p>
      <w:pPr>
        <w:pStyle w:val="BodyText"/>
      </w:pPr>
      <w:r>
        <w:t xml:space="preserve">[37] N. R. Govind and H. Ramesh,</w:t>
      </w:r>
      <w:r>
        <w:t xml:space="preserve"> </w:t>
      </w:r>
      <w:r>
        <w:t xml:space="preserve">“Exploring the relationship between LST and land cover of Bengaluru by</w:t>
      </w:r>
      <w:r>
        <w:t xml:space="preserve"> </w:t>
      </w:r>
      <w:r>
        <w:t xml:space="preserve">concentric ring approach,”</w:t>
      </w:r>
      <w:r>
        <w:t xml:space="preserve"> </w:t>
      </w:r>
      <w:r>
        <w:rPr>
          <w:i/>
          <w:iCs/>
        </w:rPr>
        <w:t xml:space="preserve">Environ. Monit. Assess.</w:t>
      </w:r>
      <w:r>
        <w:t xml:space="preserve">, vol. 192, no. 10, art. 650, 2020.</w:t>
      </w:r>
    </w:p>
    <w:p>
      <w:pPr>
        <w:pStyle w:val="BodyText"/>
      </w:pPr>
      <w:r>
        <w:t xml:space="preserve">[38] H. Sussman, A. Dai, and P. E. Roundy,</w:t>
      </w:r>
      <w:r>
        <w:t xml:space="preserve"> </w:t>
      </w:r>
      <w:r>
        <w:t xml:space="preserve">“The controlling factors of urban heat in Bengaluru,</w:t>
      </w:r>
      <w:r>
        <w:t xml:space="preserve"> </w:t>
      </w:r>
      <w:r>
        <w:t xml:space="preserve">India,”</w:t>
      </w:r>
      <w:r>
        <w:t xml:space="preserve"> </w:t>
      </w:r>
      <w:r>
        <w:rPr>
          <w:i/>
          <w:iCs/>
        </w:rPr>
        <w:t xml:space="preserve">Urban Clim.</w:t>
      </w:r>
      <w:r>
        <w:t xml:space="preserve">, vol. 38, art. 100881, 2021.</w:t>
      </w:r>
    </w:p>
    <w:p>
      <w:pPr>
        <w:pStyle w:val="BodyText"/>
      </w:pPr>
      <w:r>
        <w:t xml:space="preserve">[39] A. Mathew, S. Khandelwal, and N. Kaul,</w:t>
      </w:r>
      <w:r>
        <w:t xml:space="preserve"> </w:t>
      </w:r>
      <w:r>
        <w:t xml:space="preserve">“Investigating spatial and seasonal variations of urban</w:t>
      </w:r>
      <w:r>
        <w:t xml:space="preserve"> </w:t>
      </w:r>
      <w:r>
        <w:t xml:space="preserve">heat island effect over Jaipur city and its relationship with vegetation, urbanization and elevation</w:t>
      </w:r>
      <w:r>
        <w:t xml:space="preserve"> </w:t>
      </w:r>
      <w:r>
        <w:t xml:space="preserve">parameters,”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35, pp. 157–177, 2017.</w:t>
      </w:r>
    </w:p>
    <w:p>
      <w:pPr>
        <w:pStyle w:val="BodyText"/>
      </w:pPr>
      <w:r>
        <w:t xml:space="preserve">[40] Q. Huangfu and J. A. J. Hall,</w:t>
      </w:r>
      <w:r>
        <w:t xml:space="preserve"> </w:t>
      </w:r>
      <w:r>
        <w:t xml:space="preserve">“Parallelizing the dual revised simplex method,”</w:t>
      </w:r>
      <w:r>
        <w:t xml:space="preserve"> </w:t>
      </w:r>
      <w:r>
        <w:rPr>
          <w:i/>
          <w:iCs/>
        </w:rPr>
        <w:t xml:space="preserve">Math. Program.</w:t>
      </w:r>
      <w:r>
        <w:rPr>
          <w:i/>
          <w:iCs/>
        </w:rPr>
        <w:t xml:space="preserve"> </w:t>
      </w:r>
      <w:r>
        <w:rPr>
          <w:i/>
          <w:iCs/>
        </w:rPr>
        <w:t xml:space="preserve">Comput.</w:t>
      </w:r>
      <w:r>
        <w:t xml:space="preserve">, vol. 10, no. 1, pp. 119–142, 2018.</w:t>
      </w:r>
    </w:p>
    <w:p>
      <w:pPr>
        <w:pStyle w:val="BodyText"/>
      </w:pPr>
      <w:r>
        <w:t xml:space="preserve">[41] Q. Huangfu and J. A. J. Hall,</w:t>
      </w:r>
      <w:r>
        <w:t xml:space="preserve"> </w:t>
      </w:r>
      <w:r>
        <w:t xml:space="preserve">“HiGHS — high performance software for linear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23rd Int. Symp. Math. Program. Theory Oper. Res. (ISMP 2023)</w:t>
      </w:r>
      <w:r>
        <w:t xml:space="preserve">, 2023.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HeatScope: An Explainable, Spatially Validated and Equity-Aware Framework for Mapping Urban Heat Exposure and Prioritising Mitigation Interventions</dc:title>
  <dc:creator/>
  <cp:keywords/>
  <dcterms:created xsi:type="dcterms:W3CDTF">2026-10-03T16:12:22Z</dcterms:created>
  <dcterms:modified xsi:type="dcterms:W3CDTF">2026-10-03T16:12:22Z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