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00"/>
        <w:jc w:val="both"/>
        <w:rPr>
          <w:rFonts w:hint="default" w:ascii="Times New Roman" w:hAnsi="Times New Roman" w:cs="Times New Roman"/>
          <w:sz w:val="28"/>
          <w:szCs w:val="28"/>
        </w:rPr>
      </w:pPr>
    </w:p>
    <w:p>
      <w:pPr>
        <w:spacing w:before="1600" w:after="200"/>
        <w:jc w:val="both"/>
        <w:rPr>
          <w:rFonts w:hint="default" w:ascii="Times New Roman" w:hAnsi="Times New Roman" w:cs="Times New Roman"/>
          <w:b/>
          <w:bCs/>
          <w:sz w:val="28"/>
          <w:szCs w:val="28"/>
        </w:rPr>
      </w:pPr>
      <w:r>
        <w:rPr>
          <w:rFonts w:hint="default" w:ascii="Times New Roman" w:hAnsi="Times New Roman" w:cs="Times New Roman"/>
          <w:b/>
          <w:bCs/>
          <w:color w:val="1F3864"/>
          <w:sz w:val="28"/>
          <w:szCs w:val="28"/>
          <w:rtl w:val="0"/>
        </w:rPr>
        <w:t>Case Study Analysis Report</w:t>
      </w:r>
    </w:p>
    <w:p>
      <w:pPr>
        <w:spacing w:before="0" w:after="400"/>
        <w:jc w:val="both"/>
        <w:rPr>
          <w:rFonts w:hint="default" w:ascii="Times New Roman" w:hAnsi="Times New Roman" w:cs="Times New Roman"/>
          <w:sz w:val="28"/>
          <w:szCs w:val="28"/>
        </w:rPr>
      </w:pPr>
      <w:r>
        <w:rPr>
          <w:rFonts w:hint="default" w:ascii="Times New Roman" w:hAnsi="Times New Roman" w:cs="Times New Roman"/>
          <w:b/>
          <w:bCs/>
          <w:sz w:val="28"/>
          <w:szCs w:val="28"/>
          <w:rtl w:val="0"/>
        </w:rPr>
        <w:t>IoT-Based Medical Equipment Tracking and Predictive Maintenance System for Hospitals</w:t>
      </w:r>
    </w:p>
    <w:p>
      <w:pPr>
        <w:spacing w:before="0" w:after="100"/>
        <w:jc w:val="both"/>
        <w:rPr>
          <w:rFonts w:hint="default" w:ascii="Times New Roman" w:hAnsi="Times New Roman" w:cs="Times New Roman"/>
          <w:i/>
          <w:iCs/>
          <w:color w:val="555555"/>
          <w:sz w:val="28"/>
          <w:szCs w:val="28"/>
        </w:rPr>
      </w:pPr>
    </w:p>
    <w:p>
      <w:pPr>
        <w:spacing w:before="0" w:after="100"/>
        <w:jc w:val="both"/>
        <w:rPr>
          <w:rFonts w:hint="default" w:ascii="Times New Roman" w:hAnsi="Times New Roman" w:cs="Times New Roman"/>
          <w:sz w:val="28"/>
          <w:szCs w:val="28"/>
        </w:rPr>
      </w:pPr>
      <w:r>
        <w:rPr>
          <w:rFonts w:hint="default" w:ascii="Times New Roman" w:hAnsi="Times New Roman" w:cs="Times New Roman"/>
          <w:sz w:val="28"/>
          <w:szCs w:val="28"/>
          <w:rtl w:val="0"/>
        </w:rPr>
        <w:t>Prepared by: Ashwin</w:t>
      </w:r>
    </w:p>
    <w:p>
      <w:pPr>
        <w:spacing w:before="0" w:after="100"/>
        <w:jc w:val="both"/>
        <w:rPr>
          <w:rFonts w:hint="default" w:ascii="Times New Roman" w:hAnsi="Times New Roman" w:cs="Times New Roman"/>
          <w:sz w:val="28"/>
          <w:szCs w:val="28"/>
        </w:rPr>
      </w:pPr>
      <w:r>
        <w:rPr>
          <w:rFonts w:hint="default" w:ascii="Times New Roman" w:hAnsi="Times New Roman" w:cs="Times New Roman"/>
          <w:sz w:val="28"/>
          <w:szCs w:val="28"/>
          <w:rtl w:val="0"/>
        </w:rPr>
        <w:t>Course: Software Engineering - CSA1012</w:t>
      </w:r>
    </w:p>
    <w:p>
      <w:pPr>
        <w:spacing w:before="0" w:after="100"/>
        <w:jc w:val="both"/>
        <w:rPr>
          <w:rFonts w:hint="default" w:ascii="Times New Roman" w:hAnsi="Times New Roman" w:cs="Times New Roman"/>
          <w:sz w:val="28"/>
          <w:szCs w:val="28"/>
        </w:rPr>
      </w:pPr>
      <w:r>
        <w:rPr>
          <w:rFonts w:hint="default" w:ascii="Times New Roman" w:hAnsi="Times New Roman" w:cs="Times New Roman"/>
          <w:sz w:val="28"/>
          <w:szCs w:val="28"/>
          <w:rtl w:val="0"/>
        </w:rPr>
        <w:t>Date: July 2026</w:t>
      </w:r>
    </w:p>
    <w:p>
      <w:pPr>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pPr>
        <w:pStyle w:val="2"/>
        <w:spacing w:before="0" w:after="160"/>
        <w:jc w:val="both"/>
        <w:rPr>
          <w:rFonts w:hint="default" w:ascii="Times New Roman" w:hAnsi="Times New Roman" w:cs="Times New Roman"/>
          <w:sz w:val="28"/>
          <w:szCs w:val="28"/>
        </w:rPr>
      </w:pPr>
    </w:p>
    <w:p>
      <w:pPr>
        <w:pStyle w:val="2"/>
        <w:spacing w:before="0" w:after="1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1. Understanding the Problem Statement</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1.1 Problem in Own Words</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Hospitals rely on a large pool of shared, mobile medical equipment such as ventilators, infusion pumps, and monitors that move constantly between storerooms, corridors, and patient care units. In most hospitals today, there is no reliable way to know, at any given moment, where a specific piece of equipment is, whether it is in use or idle, or whether it is close to failing. Nursing staff frequently lose valuable time physically searching for available equipment during time-critical situations, while maintenance is largely reactive — a device is inspected only after it visibly breaks down or a scheduled service date arrives, regardless of how much it has actually been used. This creates a combination of operational inefficiency (wasted staff time, underused or duplicated equipment) and clinical risk (equipment failing unexpectedly during patient care). The core problem this case study addresses is the absence of a unified, real-time, and predictive system that can track equipment location, monitor its condition continuously, and proactively flag maintenance needs before failure occurs.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1.2 Objectives of the Proposed System</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Real-time location tracking: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Continuously determine the location of every registered asset at room/zone-level granularity using RFID checkpoints and BLE beacons.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Continuous condition monitoring: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Use IoT sensors on the equipment itself to capture live operating data such as power state, usage, battery level, and temperature.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Automated, low-noise event generation: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Filter and process raw sensor/tag signals at the edge so that only clean, meaningful events reach the backend (e.g. duplicate suppression, signal smoothing, identity validation).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Early risk detection: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Combine deterministic rules (e.g. battery below a threshold) with machine-learning-based failure prediction (e.g. gradual degradation patterns) to identify equipment at risk before it fails.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Closed-loop maintenance workflow: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Automatically raise maintenance requests, notify biomedical engineers, and track the request through inspection, repair, and testing until the asset is marked available again.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Centralized historical intelligence: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Persist movement, usage, sensor, failure, and maintenance history so that every new event improves the accuracy of future rule thresholds and ML predictions.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Role-based visibility: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Provide tailored dashboards so nurses can quickly find available equipment, engineers can manage faults and maintenance, and administrators can review utilization and operational analytics.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1.3 Scope of the Problem</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The scope of this case study covers the end-to-end lifecycle of a trackable hospital asset — from registration and tagging, through detection and edge processing, to storage, real-time monitoring, rule- and ML-based risk analysis, maintenance workflow execution, historical learning, and role-based reporting. It is centered on movable, high-value clinical equipment (ventilators, infusion pumps, monitors, and similar devices) that can be fitted with RFID/BLE tags and IoT connectivity, primarily within departments such as the ICU, though the architecture generalizes to an entire hospital campus or a multi-facility network. The scope excludes low-value disposable consumables, purely administrative asset categories (e.g. furniture) unless separately tagged, and does not extend into deep clinical decision support for patient treatment — its concern is equipment availability, condition, and maintenance, not diagnosis or treatment of patients.</w:t>
      </w:r>
    </w:p>
    <w:p>
      <w:pPr>
        <w:pStyle w:val="2"/>
        <w:spacing w:before="280" w:after="1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2. Key Stakeholders and Challenges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2.1 Stakeholders</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The system involves a mix of clinical, technical, and managerial stakeholders, each interacting with a different part of the workflow:</w:t>
      </w:r>
    </w:p>
    <w:tbl>
      <w:tblPr>
        <w:tblStyle w:val="13"/>
        <w:tblW w:w="9399" w:type="dxa"/>
        <w:tblInd w:w="-120" w:type="dxa"/>
        <w:tblLayout w:type="fixed"/>
        <w:tblCellMar>
          <w:top w:w="100" w:type="dxa"/>
          <w:left w:w="120" w:type="dxa"/>
          <w:bottom w:w="100" w:type="dxa"/>
          <w:right w:w="120" w:type="dxa"/>
        </w:tblCellMar>
      </w:tblPr>
      <w:tblGrid>
        <w:gridCol w:w="3199"/>
        <w:gridCol w:w="6200"/>
      </w:tblGrid>
      <w:tr>
        <w:tblPrEx>
          <w:tblCellMar>
            <w:top w:w="100" w:type="dxa"/>
            <w:left w:w="120" w:type="dxa"/>
            <w:bottom w:w="100" w:type="dxa"/>
            <w:right w:w="12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434343"/>
          </w:tcPr>
          <w:p>
            <w:pPr>
              <w:jc w:val="both"/>
              <w:rPr>
                <w:rFonts w:hint="default" w:ascii="Times New Roman" w:hAnsi="Times New Roman" w:cs="Times New Roman"/>
                <w:sz w:val="28"/>
                <w:szCs w:val="28"/>
              </w:rPr>
            </w:pPr>
            <w:r>
              <w:rPr>
                <w:rFonts w:hint="default" w:ascii="Times New Roman" w:hAnsi="Times New Roman" w:cs="Times New Roman"/>
                <w:b/>
                <w:bCs/>
                <w:color w:val="FFFFFF"/>
                <w:sz w:val="28"/>
                <w:szCs w:val="28"/>
                <w:rtl w:val="0"/>
              </w:rPr>
              <w:t>Stakeholder</w:t>
            </w:r>
          </w:p>
        </w:tc>
        <w:tc>
          <w:tcPr>
            <w:tcBorders>
              <w:top w:val="single" w:color="000000" w:sz="4" w:space="0"/>
              <w:left w:val="single" w:color="000000" w:sz="4" w:space="0"/>
              <w:bottom w:val="single" w:color="000000" w:sz="4" w:space="0"/>
              <w:right w:val="single" w:color="000000" w:sz="4" w:space="0"/>
            </w:tcBorders>
            <w:shd w:val="clear" w:color="auto" w:fill="434343"/>
          </w:tcPr>
          <w:p>
            <w:pPr>
              <w:jc w:val="both"/>
              <w:rPr>
                <w:rFonts w:hint="default" w:ascii="Times New Roman" w:hAnsi="Times New Roman" w:cs="Times New Roman"/>
                <w:sz w:val="28"/>
                <w:szCs w:val="28"/>
              </w:rPr>
            </w:pPr>
            <w:r>
              <w:rPr>
                <w:rFonts w:hint="default" w:ascii="Times New Roman" w:hAnsi="Times New Roman" w:cs="Times New Roman"/>
                <w:b/>
                <w:bCs/>
                <w:color w:val="FFFFFF"/>
                <w:sz w:val="28"/>
                <w:szCs w:val="28"/>
                <w:rtl w:val="0"/>
              </w:rPr>
              <w:t>Role / Responsibility</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Nurses &amp; Clinical Staff</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Locate and retrieve available equipment quickly via the nurse dashboard; use equipment at the bedside; implicitly generate usage data.</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Biomedical Engineers / Technicians</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Receive maintenance alerts and requests, inspect flagged equipment, perform repairs, test and release equipment, and record maintenance outcomes.</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Hospital Administrators</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Monitor equipment utilization, downtime, and operational analytics to guide procurement, budgeting, and staffing decisions.</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IT / Platform Administrators</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Maintain the tracking infrastructure (RFID/BLE gateways, IoT connectivity), backend systems, data security, and system uptime.</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Hospital Management / Finance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Evaluate return on investment, approve capital expenditure on equipment and infrastructure based on utilization and failure data.</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Equipment Vendors / Manufacturers</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Supply warranty, service, and specification data that can inform rule thresholds and maintenance procedures.</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Patients (indirect stakeholders)</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Benefit from timely availability of functioning equipment and reduced risk of in-use failure.</w:t>
            </w:r>
          </w:p>
        </w:tc>
      </w:tr>
    </w:tbl>
    <w:p>
      <w:pPr>
        <w:spacing w:before="200" w:after="0"/>
        <w:jc w:val="both"/>
        <w:rPr>
          <w:rFonts w:hint="default" w:ascii="Times New Roman" w:hAnsi="Times New Roman" w:cs="Times New Roman"/>
          <w:sz w:val="28"/>
          <w:szCs w:val="28"/>
        </w:rPr>
      </w:pP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2.2 Major Challenges Faced by Stakeholders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Time lost searching for equipment: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Nurses often rely on phone calls or physically walking through departments to find an available device, delaying patient care.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Reactive rather than predictive maintenance: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Biomedical engineers typically learn about a fault only after it occurs or wait for a fixed calendar-based service date, regardless of actual wear.</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Fragmented, manual record-keeping: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Movement and maintenance logs are frequently kept on paper or in spreadsheets, leading to inconsistent, delayed, or missing data.</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Poor utilization visibility for administrators: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Without usage data, administrators cannot tell whether equipment shortages are genuine or the result of poor distribution, sometimes leading to unnecessary duplicate purchases.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Risk of in-use failure: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Equipment such as ventilators failing mid-use poses direct patient safety risk, which reactive maintenance cannot fully prevent.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Alert fatigue and trust: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If a future automated system raises too many false alerts, engineers may begin to ignore notifications, undermining the very benefit the system is meant to provide.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Integration and change management: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Introducing new tracking hardware and dashboards requires staff training and process change across multiple departments simultaneously.</w:t>
      </w:r>
    </w:p>
    <w:p>
      <w:pPr>
        <w:pStyle w:val="2"/>
        <w:spacing w:before="280" w:after="1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3. Analysis of the Current Approach</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3.1 Existing Process</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In most hospitals today, equipment tracking and maintenance follow a largely manual and semi-automated process. Assets may carry a barcode or basic RFID tag that is scanned only at fixed checkpoints (e.g. when leaving a storeroom), giving a snapshot of location rather than continuous visibility. Equipment condition is not monitored electronically; instead, maintenance follows a fixed preventive schedule (e.g. every 3 or 6 months) irrespective of actual usage intensity, or is performed reactively once a device visibly malfunctions. Movement and maintenance records are commonly logged in spreadsheets, paper registers, or disconnected departmental systems, with little to no integration between clinical, biomedical, and administrative teams.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3.2 Strengths of the Current Approach</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Simple to understand and operate, requiring minimal technical training for staff.</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Low upfront infrastructure cost since it does not depend on continuous IoT connectivity.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Established, familiar workflows that biomedical and clinical teams already follow.</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Preventive maintenance schedules, while blunt, still catch some failures before they occur.</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3.3 Limitations of the Current Approach</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No real-time location data — checkpoint-based scanning only shows where an asset was last seen, not where it is now.</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No continuous condition monitoring, so gradual degradation (battery wear, overheating) goes unnoticed until failure.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Purely calendar-based preventive maintenance wastes engineering effort on healthy equipment while under-servicing heavily used devices.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Manual logs are prone to human error, delay, and inconsistency, making historical analysis unreliable.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Time spent searching for equipment directly reduces time available for patient care.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Lack of a unified data view means clinical, biomedical, and administrative teams often work from different, disconnected information sources.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3.4 Gaps to be Addressed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Continuous tracking gap: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Move from checkpoint-only scanning to continuous BLE/RFID zone tracking.</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Condition-awareness gap: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Introduce IoT sensing so the system knows how a device is actually being used, not just where it is.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Predictive capability gap: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Combine deterministic rules with ML-based failure prediction instead of relying solely on fixed maintenance calendars.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Workflow integration gap: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Automate the path from detection to alert to maintenance record, removing manual coordination overhead.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Data-driven decision gap: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Provide administrators with utilization and downtime analytics instead of anecdotal or spreadsheet-based reporting.</w:t>
      </w:r>
    </w:p>
    <w:p>
      <w:pPr>
        <w:pStyle w:val="2"/>
        <w:spacing w:before="280" w:after="1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4. Proposed Solution Using Software Engineering Principles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4.1 Solution Overview</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The proposed system is a distributed, event-driven platform organized around a single end-to-end flow: Register → Sense → Detect → Process → Store → Monitor → Analyze → Decide → Act → Learn. Assets are registered with a unique ID and fitted with RFID and BLE tags plus IoT sensing capability. Fixed readers and gateways detect the asset as it moves through the hospital; an edge processing layer cleans and deduplicates raw signals into meaningful events; a distributed backend persists current state and full history; a parallel rule engine and ML analytics engine continuously evaluate risk; a decision engine determines whether action is required; and, when it is, an automated maintenance workflow routes the issue to a biomedical engineer through to resolution. Every completed cycle feeds back into the historical data store, improving future analytics — closing the loop between operations and intelligence.</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4.2 Major Functional Modules</w:t>
      </w:r>
    </w:p>
    <w:tbl>
      <w:tblPr>
        <w:tblStyle w:val="14"/>
        <w:tblW w:w="9399" w:type="dxa"/>
        <w:tblInd w:w="-120" w:type="dxa"/>
        <w:tblLayout w:type="fixed"/>
        <w:tblCellMar>
          <w:top w:w="100" w:type="dxa"/>
          <w:left w:w="120" w:type="dxa"/>
          <w:bottom w:w="100" w:type="dxa"/>
          <w:right w:w="120" w:type="dxa"/>
        </w:tblCellMar>
      </w:tblPr>
      <w:tblGrid>
        <w:gridCol w:w="2999"/>
        <w:gridCol w:w="6400"/>
      </w:tblGrid>
      <w:tr>
        <w:tblPrEx>
          <w:tblCellMar>
            <w:top w:w="100" w:type="dxa"/>
            <w:left w:w="120" w:type="dxa"/>
            <w:bottom w:w="100" w:type="dxa"/>
            <w:right w:w="12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1F3864"/>
          </w:tcPr>
          <w:p>
            <w:pPr>
              <w:jc w:val="both"/>
              <w:rPr>
                <w:rFonts w:hint="default" w:ascii="Times New Roman" w:hAnsi="Times New Roman" w:cs="Times New Roman"/>
                <w:color w:val="FFFFFF"/>
                <w:sz w:val="28"/>
                <w:szCs w:val="28"/>
              </w:rPr>
            </w:pPr>
            <w:r>
              <w:rPr>
                <w:rFonts w:hint="default" w:ascii="Times New Roman" w:hAnsi="Times New Roman" w:cs="Times New Roman"/>
                <w:b/>
                <w:bCs/>
                <w:color w:val="FFFFFF"/>
                <w:sz w:val="28"/>
                <w:szCs w:val="28"/>
                <w:rtl w:val="0"/>
              </w:rPr>
              <w:t>Module</w:t>
            </w:r>
          </w:p>
        </w:tc>
        <w:tc>
          <w:tcPr>
            <w:tcBorders>
              <w:top w:val="single" w:color="000000" w:sz="4" w:space="0"/>
              <w:left w:val="single" w:color="000000" w:sz="4" w:space="0"/>
              <w:bottom w:val="single" w:color="000000" w:sz="4" w:space="0"/>
              <w:right w:val="single" w:color="000000" w:sz="4" w:space="0"/>
            </w:tcBorders>
            <w:shd w:val="clear" w:color="auto" w:fill="1F3864"/>
          </w:tcPr>
          <w:p>
            <w:pPr>
              <w:jc w:val="both"/>
              <w:rPr>
                <w:rFonts w:hint="default" w:ascii="Times New Roman" w:hAnsi="Times New Roman" w:cs="Times New Roman"/>
                <w:sz w:val="28"/>
                <w:szCs w:val="28"/>
              </w:rPr>
            </w:pPr>
            <w:r>
              <w:rPr>
                <w:rFonts w:hint="default" w:ascii="Times New Roman" w:hAnsi="Times New Roman" w:cs="Times New Roman"/>
                <w:b/>
                <w:bCs/>
                <w:color w:val="FFFFFF"/>
                <w:sz w:val="28"/>
                <w:szCs w:val="28"/>
                <w:rtl w:val="0"/>
              </w:rPr>
              <w:t>Responsibility</w:t>
            </w:r>
          </w:p>
        </w:tc>
      </w:tr>
      <w:tr>
        <w:tblPrEx>
          <w:tblCellMar>
            <w:top w:w="100" w:type="dxa"/>
            <w:left w:w="120" w:type="dxa"/>
            <w:bottom w:w="100" w:type="dxa"/>
            <w:right w:w="120" w:type="dxa"/>
          </w:tblCellMar>
        </w:tblPrEx>
        <w:trPr>
          <w:tblHeader/>
        </w:trPr>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Asset Registration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Registers new equipment with a unique Asset ID, type, department, and tracking ID.</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Tracking &amp; IoT Configuration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Configures RFID tags (checkpoint identification), BLE beacons (continuous zone tracking), and IoT sensors (usage/condition monitoring).</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Equipment Detection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Fixed readers/gateways detect asset movement across hospital zones (storage, corridor, ICU, room).</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Edge Data Processing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Deduplicates and smooths raw signals, validates device identity, and converts raw readings into meaningful events.</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Distributed Backend / Data Store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Maintains current asset state and stores movement, usage, and condition history.</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Real-Time Utilization Monitoring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Determines In-Use / Idle / Available status from live IoT signals and calculates cumulative usage hours.</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Rule Engine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Evaluates deterministic, known conditions such as low battery, prolonged idle time, unauthorized zone, or overdue maintenance.</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ML Analytics Engine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Analyzes usage patterns, equipment age, degradation trends, and failure history to predict future failure risk.</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Decision &amp; Risk Evaluation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Merges rule engine and ML outputs to determine whether an action (e.g. priority maintenance) is required.</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Alert &amp; Maintenance Workflow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Creates maintenance requests, notifies biomedical engineers, tracks inspection, repair, and testing through to asset release.</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Historical Data &amp; Learning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Stores movement, usage, sensor, failure, and maintenance history to continuously refine analytics.</w:t>
            </w:r>
          </w:p>
        </w:tc>
      </w:tr>
      <w:tr>
        <w:tblPrEx>
          <w:tblCellMar>
            <w:top w:w="100" w:type="dxa"/>
            <w:left w:w="120" w:type="dxa"/>
            <w:bottom w:w="100" w:type="dxa"/>
            <w:right w:w="120" w:type="dxa"/>
          </w:tblCellMar>
        </w:tblPrEx>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Role-Based Dashboard Module</w:t>
            </w:r>
          </w:p>
        </w:tc>
        <w:tc>
          <w:tcPr>
            <w:tcBorders>
              <w:top w:val="single" w:color="000000" w:sz="4" w:space="0"/>
              <w:left w:val="single" w:color="000000" w:sz="4" w:space="0"/>
              <w:bottom w:val="single" w:color="000000" w:sz="4" w:space="0"/>
              <w:right w:val="single" w:color="000000" w:sz="4" w:space="0"/>
            </w:tcBorders>
          </w:tcPr>
          <w:p>
            <w:pPr>
              <w:jc w:val="both"/>
              <w:rPr>
                <w:rFonts w:hint="default" w:ascii="Times New Roman" w:hAnsi="Times New Roman" w:cs="Times New Roman"/>
                <w:sz w:val="28"/>
                <w:szCs w:val="28"/>
              </w:rPr>
            </w:pPr>
            <w:r>
              <w:rPr>
                <w:rFonts w:hint="default" w:ascii="Times New Roman" w:hAnsi="Times New Roman" w:cs="Times New Roman"/>
                <w:b w:val="0"/>
                <w:bCs w:val="0"/>
                <w:sz w:val="28"/>
                <w:szCs w:val="28"/>
                <w:rtl w:val="0"/>
              </w:rPr>
              <w:t>Presents tailored views: equipment availability for nurses, faults/maintenance for engineers, utilization analytics for administrators.</w:t>
            </w:r>
          </w:p>
        </w:tc>
      </w:tr>
    </w:tbl>
    <w:p>
      <w:pPr>
        <w:spacing w:before="200" w:after="0"/>
        <w:jc w:val="both"/>
        <w:rPr>
          <w:rFonts w:hint="default" w:ascii="Times New Roman" w:hAnsi="Times New Roman" w:cs="Times New Roman"/>
          <w:sz w:val="28"/>
          <w:szCs w:val="28"/>
        </w:rPr>
      </w:pP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4.3 Functional Requirements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allow registration of new equipment with a unique Asset ID and metadata (type, department, tracking ID).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track asset location continuously using RFID/BLE signals and update it in near real time.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ingest IoT sensor data (power state, battery level, temperature, usage) for each tracked asset.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deduplicate and validate raw tracking signals before generating events.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evaluate rule-based conditions and ML-based failure risk in parallel for every relevant event.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automatically generate a maintenance request and notify the responsible engineer when risk thresholds are exceeded.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maintain a complete, queryable history of movement, usage, sensor readings, failures, and maintenance actions.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shall provide role-specific dashboards for nurses, biomedical engineers, and administrators.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4.4 Non-Functional Requirements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Performance: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Location and status updates should be reflected on dashboards within seconds of the underlying event.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Scalability: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architecture must support growth from a single department to an entire hospital or multi-facility network without redesign.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Reliability / Availability: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tracking and alerting pipeline must tolerate individual reader or network failures without losing critical maintenance alerts.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Security: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All data in transit and at rest must be protected, with role-based access control restricting each user to relevant data only.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Usability: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 xml:space="preserve">Dashboards must be simple enough for clinical staff to use under </w:t>
      </w:r>
      <w:bookmarkStart w:id="0" w:name="_GoBack"/>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time pressure, with minimal training.</w:t>
      </w:r>
    </w:p>
    <w:bookmarkEnd w:id="0"/>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Maintainability: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Each module should be independently updatable (e.g. replacing the ML model) without disrupting the rest of the system.</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Interoperability: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should be able to exchange data with existing hospital systems such as electronic health records or asset management software.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Auditability: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Every state change and maintenance action must be logged and traceable for compliance and quality review.</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4.5 Incorporation of Software Engineering Principles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Modularity: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is decomposed into independent modules (registration, edge processing, rule engine, ML engine, maintenance workflow, dashboards) that communicate through well-defined interfaces, so any one module can be developed, tested, or replaced in isolation.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Scalability: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 distributed backend and horizontally scalable edge-processing layer allow the system to absorb growing numbers of tagged assets and reader gateways as hospital coverage expands.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Maintainability: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Clear separation between the deterministic rule engine and the ML analytics engine means thresholds can be tuned or models retrained without touching unrelated code, and documented module boundaries simplify onboarding of new developers.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Reliability: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Redundant readers, signal-smoothing at the edge, and confidence scoring on location/status data reduce the impact of noisy or missed readings, while the decision engine only acts on validated, high-confidence events.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Usability: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Role-based dashboards present only the information each stakeholder needs — availability for nurses, faults for engineers, analytics for administrators — reducing cognitive load.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Security: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Access to patient-adjacent and operational data is controlled by role-based permissions, with encrypted communication between IoT devices, gateways, and the backend, and full audit logging of maintenance actions.</w:t>
      </w:r>
    </w:p>
    <w:p>
      <w:pPr>
        <w:pStyle w:val="2"/>
        <w:spacing w:before="280" w:after="1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5. Justification of the Chosen Methodology</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5.1 Selected Methodology</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An Agile methodology, specifically Scrum with short iterative sprints and DevOps-style continuous integration for the software components, is recommended for developing this system.</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5.2 Justification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Evolving and hardware-dependent requirements: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Because the system integrates physical RFID/BLE/IoT hardware with software, exact signal behavior, tag placement, and network conditions can only be fully understood once early prototypes are tested in a real hospital environment — Agile's iterative cycles allow requirements to be refined as this real-world feedback arrives, unlike Waterfall, which assumes requirements are fixed upfront.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High stakeholder involvement: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Nurses, biomedical engineers, and administrators all need to validate that dashboards and alert workflows genuinely fit their daily routines; Scrum's sprint reviews create a regular, structured opportunity for this clinical and operational feedback before too much is built in the wrong direction.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Incremental risk reduction: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The system has many independently deliverable modules (registration, tracking, rule engine, ML engine, maintenance workflow, dashboards); Agile allows these to be built and deployed incrementally, so a working subset (e.g. tracking plus basic rule-based alerts) can go live and deliver value before the more complex ML analytics module is complete.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Continuous integration and testing: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 DevOps-supported Agile pipeline enables frequent automated testing of the edge-processing and rule-engine logic, which is critical in a healthcare context where a bug in alerting could have safety consequences.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Support for long-term evolution: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Because ML models require retraining and rule thresholds require tuning as more historical data accumulates, an Agile/DevOps approach — rather than a one-time delivery model — matches the system's need for ongoing, incremental improvement after initial launch.</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5.3 How It Supports Project Development and Maintenance</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Working in short sprints allows the development team to deliver a minimal viable pipeline early (e.g. asset registration and basic BLE tracking), gather feedback from nurses and engineers, and progressively layer in edge processing, the rule engine, ML-based prediction, and the full maintenance workflow. Sprint retrospectives surface integration issues with hospital IT infrastructure early, rather than at the end of a long development cycle. Post-launch, the same Agile/DevOps cadence supports maintenance: new rule thresholds, ML model updates, and dashboard refinements can be released as small, well-tested increments rather than large, risky updates, which is important for a system operating in a live clinical environment.</w:t>
      </w:r>
    </w:p>
    <w:p>
      <w:pPr>
        <w:pStyle w:val="2"/>
        <w:spacing w:before="280" w:after="16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6. Expected Outcomes and Limitations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6.1 Expected Benefits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Significant reduction in time nursing staff spend searching for available equipment, freeing more time for direct patient care.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Fewer in-use equipment failures due to predictive maintenance catching issues such as battery degradation before they cause a breakdown.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Better equipment utilization and potentially reduced capital expenditure, since administrators can identify underused assets instead of purchasing duplicates.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Faster, more consistent maintenance workflow with automatic request creation, notification, and record-keeping.</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 growing historical dataset that continuously improves the accuracy of both rule thresholds and ML failure predictions over time.</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6.2 How the Solution Addresses Identified Challenges</w:t>
      </w:r>
    </w:p>
    <w:p>
      <w:pPr>
        <w:spacing w:before="0" w:after="140" w:line="300"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The continuous BLE/RFID tracking directly resolves the time lost searching for equipment. Combining a deterministic rule engine with ML-based prediction shifts maintenance from purely reactive or calendar-based to condition- and risk-based, addressing both the unplanned-failure risk and the wasted-effort problem of servicing healthy equipment. Automating the alert-to-maintenance-record workflow removes the manual coordination overhead that previously caused delays and inconsistent logging. Role-based dashboards give administrators the utilization visibility they previously lacked, supporting better procurement and budgeting decisions.</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6.3 Potential Risks, Implementation Challenges, and Limitations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Hardware and infrastructure cost: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Tagging equipment and deploying RFID/BLE gateways across a hospital involves significant upfront investment.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Network and signal reliability: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Hospital buildings can cause RF interference or dead zones, potentially degrading location accuracy.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Battery life and tag maintenance: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BLE tags and IoT sensors require periodic battery replacement, adding an operational overhead of its own.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Data privacy and security: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Continuous tracking and IoT data streams must be secured against unauthorized access, particularly where equipment usage data could be correlated with patient care activity.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Alert fatigue: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Poorly tuned rule thresholds or an inaccurate ML model could generate excessive false alerts, causing engineers to lose trust in the system.</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Change management: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Staff across multiple departments need training and must adapt existing habits, which can slow adoption if not carefully managed.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bCs/>
          <w:i w:val="0"/>
          <w:iCs w:val="0"/>
          <w:smallCaps w:val="0"/>
          <w:strike w:val="0"/>
          <w:color w:val="000000"/>
          <w:sz w:val="28"/>
          <w:szCs w:val="28"/>
          <w:u w:val="none"/>
          <w:shd w:val="clear" w:fill="auto"/>
          <w:vertAlign w:val="baseline"/>
          <w:rtl w:val="0"/>
        </w:rPr>
        <w:t xml:space="preserve">Legacy system integration: </w:t>
      </w: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Connecting the new platform with existing hospital IT and asset management systems may require additional integration effort.</w:t>
      </w:r>
    </w:p>
    <w:p>
      <w:pPr>
        <w:pStyle w:val="3"/>
        <w:spacing w:before="220" w:after="120"/>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tl w:val="0"/>
        </w:rPr>
        <w:t>6.4 Possible Future Enhancements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Integration with electronic health record (EHR) systems to correlate equipment usage with patient care episodes.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Computer-vision-based detection as a complementary or backup mechanism to RFID/BLE tracking.</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 mobile application for nurses and engineers to receive alerts and locate equipment on the move.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Cross-hospital or network-wide analytics for organizations operating multiple facilities.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A digital-twin representation of critical equipment for deeper simulation of wear and failure scenarios.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90" w:lineRule="auto"/>
        <w:ind w:left="450" w:right="0" w:hanging="260"/>
        <w:jc w:val="both"/>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Calibri" w:cs="Times New Roman"/>
          <w:b w:val="0"/>
          <w:bCs w:val="0"/>
          <w:i w:val="0"/>
          <w:iCs w:val="0"/>
          <w:smallCaps w:val="0"/>
          <w:strike w:val="0"/>
          <w:color w:val="000000"/>
          <w:sz w:val="28"/>
          <w:szCs w:val="28"/>
          <w:u w:val="none"/>
          <w:shd w:val="clear" w:fill="auto"/>
          <w:vertAlign w:val="baseline"/>
          <w:rtl w:val="0"/>
        </w:rPr>
        <w:t>Integration with procurement and supply-chain systems to automatically inform purchasing decisions based on utilization data</w:t>
      </w:r>
    </w:p>
    <w:sectPr>
      <w:pgSz w:w="12240" w:h="15840"/>
      <w:pgMar w:top="1440" w:right="1440" w:bottom="1440" w:left="1440" w:header="0"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Liberation Sans">
    <w:panose1 w:val="020B0604020202020204"/>
    <w:charset w:val="00"/>
    <w:family w:val="auto"/>
    <w:pitch w:val="default"/>
    <w:sig w:usb0="E0000AFF" w:usb1="500078FF" w:usb2="00000021" w:usb3="00000000" w:csb0="600001BF" w:csb1="DFF70000"/>
  </w:font>
  <w:font w:name="Georgia">
    <w:panose1 w:val="02040502050405020303"/>
    <w:charset w:val="00"/>
    <w:family w:val="auto"/>
    <w:pitch w:val="default"/>
    <w:sig w:usb0="00000287" w:usb1="00000000" w:usb2="00000000" w:usb3="00000000" w:csb0="2000009F" w:csb1="00000000"/>
  </w:font>
  <w:font w:name="Noto Sans Symbols">
    <w:panose1 w:val="020B0502040504020204"/>
    <w:charset w:val="00"/>
    <w:family w:val="auto"/>
    <w:pitch w:val="default"/>
    <w:sig w:usb0="00000003" w:usb1="0200E4B4" w:usb2="00000000" w:usb3="00000000" w:csb0="00000001" w:csb1="00000000"/>
  </w:font>
  <w:font w:name="DejaVu Sans">
    <w:panose1 w:val="020B0603030804020204"/>
    <w:charset w:val="00"/>
    <w:family w:val="auto"/>
    <w:pitch w:val="default"/>
    <w:sig w:usb0="E7006EFF" w:usb1="D200FDFF" w:usb2="0A246029" w:usb3="0400200C" w:csb0="600001FF" w:csb1="DFFF0000"/>
  </w:font>
  <w:font w:name="Courier 10 Pitch">
    <w:panose1 w:val="00000000000000000000"/>
    <w:charset w:val="00"/>
    <w:family w:val="auto"/>
    <w:pitch w:val="default"/>
    <w:sig w:usb0="00000000" w:usb1="00000000" w:usb2="00000000" w:usb3="00000000" w:csb0="00000000" w:csb1="00000000"/>
  </w:font>
  <w:font w:name="FreeMono">
    <w:panose1 w:val="000F0409020205020404"/>
    <w:charset w:val="00"/>
    <w:family w:val="auto"/>
    <w:pitch w:val="default"/>
    <w:sig w:usb0="E400AEFF" w:usb1="C240FFFF" w:usb2="08249029" w:usb3="00100008" w:csb0="600001FF" w:csb1="FFFF0000"/>
  </w:font>
  <w:font w:name="FreeSerif">
    <w:panose1 w:val="02020603050405020304"/>
    <w:charset w:val="00"/>
    <w:family w:val="auto"/>
    <w:pitch w:val="default"/>
    <w:sig w:usb0="E5DFAFFF" w:usb1="C240FDFF" w:usb2="4B541B29" w:usb3="0400004B" w:csb0="600101FF" w:csb1="FFFF0000"/>
  </w:font>
  <w:font w:name="Calibri">
    <w:altName w:val="Trebuchet MS"/>
    <w:panose1 w:val="00000000000000000000"/>
    <w:charset w:val="00"/>
    <w:family w:val="auto"/>
    <w:pitch w:val="default"/>
    <w:sig w:usb0="00000000" w:usb1="00000000" w:usb2="00000000" w:usb3="00000000" w:csb0="00000000" w:csb1="0000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AF4D3E"/>
    <w:multiLevelType w:val="multilevel"/>
    <w:tmpl w:val="F8AF4D3E"/>
    <w:lvl w:ilvl="0" w:tentative="0">
      <w:start w:val="1"/>
      <w:numFmt w:val="bullet"/>
      <w:lvlText w:val="●"/>
      <w:lvlJc w:val="left"/>
      <w:pPr>
        <w:ind w:left="450" w:hanging="260"/>
      </w:pPr>
      <w:rPr>
        <w:rFonts w:ascii="Noto Sans Symbols" w:hAnsi="Noto Sans Symbols" w:eastAsia="Noto Sans Symbols" w:cs="Noto Sans Symbols"/>
      </w:rPr>
    </w:lvl>
    <w:lvl w:ilvl="1" w:tentative="0">
      <w:start w:val="1"/>
      <w:numFmt w:val="bullet"/>
      <w:lvlText w:val="◦"/>
      <w:lvlJc w:val="left"/>
      <w:pPr>
        <w:ind w:left="900" w:hanging="260"/>
      </w:pPr>
      <w:rPr>
        <w:rFonts w:ascii="Noto Sans Symbols" w:hAnsi="Noto Sans Symbols" w:eastAsia="Noto Sans Symbols" w:cs="Noto Sans Symbols"/>
      </w:r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FDBF24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2"/>
      <w:szCs w:val="22"/>
      <w:lang w:val="en-IN"/>
    </w:rPr>
  </w:style>
  <w:style w:type="paragraph" w:styleId="2">
    <w:name w:val="heading 1"/>
    <w:basedOn w:val="1"/>
    <w:next w:val="1"/>
    <w:uiPriority w:val="0"/>
    <w:pPr>
      <w:keepNext/>
      <w:spacing w:before="280" w:after="160"/>
    </w:pPr>
    <w:rPr>
      <w:rFonts w:ascii="Liberation Sans" w:hAnsi="Liberation Sans" w:eastAsia="Liberation Sans" w:cs="Liberation Sans"/>
      <w:b/>
      <w:bCs/>
      <w:color w:val="1F3864"/>
      <w:sz w:val="30"/>
      <w:szCs w:val="30"/>
    </w:rPr>
  </w:style>
  <w:style w:type="paragraph" w:styleId="3">
    <w:name w:val="heading 2"/>
    <w:basedOn w:val="1"/>
    <w:next w:val="1"/>
    <w:uiPriority w:val="0"/>
    <w:pPr>
      <w:keepNext/>
      <w:spacing w:before="220" w:after="120"/>
    </w:pPr>
    <w:rPr>
      <w:rFonts w:ascii="Liberation Sans" w:hAnsi="Liberation Sans" w:eastAsia="Liberation Sans" w:cs="Liberation Sans"/>
      <w:b/>
      <w:bCs/>
      <w:color w:val="2E5395"/>
      <w:sz w:val="25"/>
      <w:szCs w:val="25"/>
    </w:rPr>
  </w:style>
  <w:style w:type="paragraph" w:styleId="4">
    <w:name w:val="heading 3"/>
    <w:basedOn w:val="1"/>
    <w:next w:val="1"/>
    <w:uiPriority w:val="0"/>
    <w:pPr>
      <w:keepNext/>
      <w:spacing w:before="160" w:after="100"/>
    </w:pPr>
    <w:rPr>
      <w:rFonts w:ascii="Liberation Sans" w:hAnsi="Liberation Sans" w:eastAsia="Liberation Sans" w:cs="Liberation Sans"/>
      <w:b/>
      <w:bCs/>
      <w:i/>
      <w:iCs/>
      <w:color w:val="444444"/>
      <w:sz w:val="23"/>
      <w:szCs w:val="23"/>
    </w:rPr>
  </w:style>
  <w:style w:type="paragraph" w:styleId="5">
    <w:name w:val="heading 4"/>
    <w:basedOn w:val="1"/>
    <w:next w:val="1"/>
    <w:uiPriority w:val="0"/>
    <w:pPr>
      <w:keepNext/>
      <w:spacing w:before="240" w:after="120"/>
    </w:pPr>
    <w:rPr>
      <w:rFonts w:ascii="Liberation Sans" w:hAnsi="Liberation Sans" w:eastAsia="Liberation Sans" w:cs="Liberation Sans"/>
      <w:i/>
      <w:iCs/>
      <w:color w:val="2E74B5"/>
      <w:sz w:val="28"/>
      <w:szCs w:val="28"/>
    </w:rPr>
  </w:style>
  <w:style w:type="paragraph" w:styleId="6">
    <w:name w:val="heading 5"/>
    <w:basedOn w:val="1"/>
    <w:next w:val="1"/>
    <w:uiPriority w:val="0"/>
    <w:pPr>
      <w:keepNext/>
      <w:spacing w:before="240" w:after="120"/>
    </w:pPr>
    <w:rPr>
      <w:rFonts w:ascii="Liberation Sans" w:hAnsi="Liberation Sans" w:eastAsia="Liberation Sans" w:cs="Liberation Sans"/>
      <w:color w:val="2E74B5"/>
      <w:sz w:val="28"/>
      <w:szCs w:val="28"/>
    </w:rPr>
  </w:style>
  <w:style w:type="paragraph" w:styleId="7">
    <w:name w:val="heading 6"/>
    <w:basedOn w:val="1"/>
    <w:next w:val="1"/>
    <w:uiPriority w:val="0"/>
    <w:pPr>
      <w:keepNext/>
      <w:spacing w:before="240" w:after="120"/>
    </w:pPr>
    <w:rPr>
      <w:rFonts w:ascii="Liberation Sans" w:hAnsi="Liberation Sans" w:eastAsia="Liberation Sans" w:cs="Liberation Sans"/>
      <w:color w:val="1F4D78"/>
      <w:sz w:val="28"/>
      <w:szCs w:val="2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spacing w:before="240" w:after="120"/>
    </w:pPr>
    <w:rPr>
      <w:rFonts w:ascii="Liberation Sans" w:hAnsi="Liberation Sans" w:eastAsia="Liberation Sans" w:cs="Liberation Sans"/>
      <w:sz w:val="56"/>
      <w:szCs w:val="56"/>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100" w:type="dxa"/>
        <w:left w:w="120" w:type="dxa"/>
        <w:bottom w:w="100" w:type="dxa"/>
        <w:right w:w="120" w:type="dxa"/>
      </w:tblCellMar>
    </w:tblPr>
  </w:style>
  <w:style w:type="table" w:customStyle="1" w:styleId="14">
    <w:name w:val="_Style 11"/>
    <w:basedOn w:val="12"/>
    <w:uiPriority w:val="0"/>
    <w:tblPr>
      <w:tblCellMar>
        <w:top w:w="100" w:type="dxa"/>
        <w:left w:w="120" w:type="dxa"/>
        <w:bottom w:w="100" w:type="dxa"/>
        <w:right w:w="12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2026-07-20T14:53:36Z</dcterms:created>
  <dc:creator>kaito</dc:creator>
  <cp:lastModifiedBy>kaito</cp:lastModifiedBy>
  <dcterms:modified xsi:type="dcterms:W3CDTF">2026-07-20T14:55:49Z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