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2881" w:firstLineChars="900"/>
      </w:pPr>
      <w:r>
        <w:rPr>
          <w:lang w:val="en-IN" w:eastAsia="en-IN"/>
        </w:rPr>
        <w:drawing>
          <wp:anchor distT="0" distB="0" distL="0" distR="0" simplePos="0" relativeHeight="251659264" behindDoc="0" locked="0" layoutInCell="1" allowOverlap="1">
            <wp:simplePos x="0" y="0"/>
            <wp:positionH relativeFrom="page">
              <wp:posOffset>830580</wp:posOffset>
            </wp:positionH>
            <wp:positionV relativeFrom="paragraph">
              <wp:posOffset>31750</wp:posOffset>
            </wp:positionV>
            <wp:extent cx="1059180" cy="1089660"/>
            <wp:effectExtent l="0" t="0" r="7620" b="1524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059179" cy="1089659"/>
                    </a:xfrm>
                    <a:prstGeom prst="rect">
                      <a:avLst/>
                    </a:prstGeom>
                  </pic:spPr>
                </pic:pic>
              </a:graphicData>
            </a:graphic>
          </wp:anchor>
        </w:drawing>
      </w:r>
      <w:r>
        <w:rPr>
          <w:lang w:val="en-IN" w:eastAsia="en-IN"/>
        </w:rPr>
        <w:drawing>
          <wp:anchor distT="0" distB="0" distL="0" distR="0" simplePos="0" relativeHeight="251660288" behindDoc="0" locked="0" layoutInCell="1" allowOverlap="1">
            <wp:simplePos x="0" y="0"/>
            <wp:positionH relativeFrom="page">
              <wp:posOffset>6138545</wp:posOffset>
            </wp:positionH>
            <wp:positionV relativeFrom="paragraph">
              <wp:posOffset>190500</wp:posOffset>
            </wp:positionV>
            <wp:extent cx="868680" cy="1057910"/>
            <wp:effectExtent l="0" t="0" r="7620" b="889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68679" cy="1057655"/>
                    </a:xfrm>
                    <a:prstGeom prst="rect">
                      <a:avLst/>
                    </a:prstGeom>
                  </pic:spPr>
                </pic:pic>
              </a:graphicData>
            </a:graphic>
          </wp:anchor>
        </w:drawing>
      </w:r>
      <w:r>
        <w:t>Saveetha</w:t>
      </w:r>
      <w:r>
        <w:rPr>
          <w:spacing w:val="-7"/>
        </w:rPr>
        <w:t xml:space="preserve"> </w:t>
      </w:r>
      <w:r>
        <w:t>School</w:t>
      </w:r>
      <w:r>
        <w:rPr>
          <w:spacing w:val="-7"/>
        </w:rPr>
        <w:t xml:space="preserve"> </w:t>
      </w:r>
      <w:r>
        <w:t>of</w:t>
      </w:r>
      <w:r>
        <w:rPr>
          <w:spacing w:val="-5"/>
        </w:rPr>
        <w:t xml:space="preserve"> </w:t>
      </w:r>
      <w:r>
        <w:rPr>
          <w:spacing w:val="-2"/>
        </w:rPr>
        <w:t>Engineering</w:t>
      </w:r>
    </w:p>
    <w:p>
      <w:pPr>
        <w:pStyle w:val="10"/>
        <w:spacing w:before="201" w:line="494" w:lineRule="auto"/>
        <w:ind w:left="2972" w:right="580" w:hanging="657"/>
      </w:pPr>
      <w:r>
        <w:t>Saveetha Institute</w:t>
      </w:r>
      <w:r>
        <w:rPr>
          <w:spacing w:val="-2"/>
        </w:rPr>
        <w:t xml:space="preserve"> </w:t>
      </w:r>
      <w:r>
        <w:t>of Medical and Technical Sciences</w:t>
      </w:r>
    </w:p>
    <w:p>
      <w:pPr>
        <w:spacing w:after="200"/>
        <w:jc w:val="center"/>
        <w:rPr>
          <w:b/>
          <w:bCs/>
        </w:rPr>
      </w:pPr>
    </w:p>
    <w:p>
      <w:pPr>
        <w:spacing w:after="200"/>
        <w:jc w:val="center"/>
        <w:rPr>
          <w:rFonts w:ascii="Times New Roman" w:hAnsi="Times New Roman" w:eastAsia="Times New Roman" w:cs="Times New Roman"/>
          <w:b/>
          <w:bCs/>
          <w:color w:val="000000"/>
          <w:sz w:val="32"/>
          <w:szCs w:val="32"/>
        </w:rPr>
      </w:pPr>
      <w:r>
        <w:rPr>
          <w:b/>
          <w:bCs/>
        </w:rPr>
        <w:t>CSA10</w:t>
      </w:r>
      <w:r>
        <w:rPr>
          <w:b/>
          <w:bCs/>
          <w:spacing w:val="-1"/>
        </w:rPr>
        <w:t xml:space="preserve"> </w:t>
      </w:r>
      <w:r>
        <w:rPr>
          <w:b/>
          <w:bCs/>
        </w:rPr>
        <w:t>- Software</w:t>
      </w:r>
      <w:r>
        <w:rPr>
          <w:b/>
          <w:bCs/>
          <w:spacing w:val="-3"/>
        </w:rPr>
        <w:t xml:space="preserve"> </w:t>
      </w:r>
      <w:r>
        <w:rPr>
          <w:b/>
          <w:bCs/>
        </w:rPr>
        <w:t xml:space="preserve">Engineering </w:t>
      </w:r>
    </w:p>
    <w:p>
      <w:pPr>
        <w:spacing w:after="200"/>
        <w:jc w:val="center"/>
      </w:pPr>
      <w:r>
        <w:rPr>
          <w:rFonts w:ascii="Times New Roman" w:hAnsi="Times New Roman" w:eastAsia="Times New Roman" w:cs="Times New Roman"/>
          <w:b/>
          <w:bCs/>
          <w:color w:val="000000"/>
          <w:sz w:val="32"/>
          <w:szCs w:val="32"/>
        </w:rPr>
        <w:t>CO4 ASSESSMENT TOOL 1 – Test Case Design Assignment</w:t>
      </w:r>
    </w:p>
    <w:p>
      <w:pPr>
        <w:spacing w:after="160"/>
      </w:pPr>
      <w:r>
        <w:rPr>
          <w:rFonts w:ascii="Times New Roman" w:hAnsi="Times New Roman" w:eastAsia="Times New Roman" w:cs="Times New Roman"/>
          <w:b/>
          <w:bCs/>
          <w:color w:val="000000"/>
          <w:sz w:val="32"/>
          <w:szCs w:val="32"/>
        </w:rPr>
        <w:t xml:space="preserve">Course Code: </w:t>
      </w:r>
      <w:r>
        <w:rPr>
          <w:rFonts w:ascii="Times New Roman" w:hAnsi="Times New Roman" w:eastAsia="Times New Roman" w:cs="Times New Roman"/>
          <w:color w:val="000000"/>
          <w:sz w:val="32"/>
          <w:szCs w:val="32"/>
        </w:rPr>
        <w:t xml:space="preserve">CSA10 / CSA1063      </w:t>
      </w:r>
      <w:r>
        <w:rPr>
          <w:rFonts w:ascii="Times New Roman" w:hAnsi="Times New Roman" w:eastAsia="Times New Roman" w:cs="Times New Roman"/>
          <w:b/>
          <w:bCs/>
          <w:color w:val="000000"/>
          <w:sz w:val="32"/>
          <w:szCs w:val="32"/>
        </w:rPr>
        <w:t xml:space="preserve">Course Title: </w:t>
      </w:r>
      <w:r>
        <w:rPr>
          <w:rFonts w:ascii="Times New Roman" w:hAnsi="Times New Roman" w:eastAsia="Times New Roman" w:cs="Times New Roman"/>
          <w:color w:val="000000"/>
          <w:sz w:val="32"/>
          <w:szCs w:val="32"/>
        </w:rPr>
        <w:t>Software Engineering</w:t>
      </w:r>
    </w:p>
    <w:p>
      <w:pPr>
        <w:spacing w:after="200"/>
        <w:rPr>
          <w:rFonts w:ascii="Times New Roman" w:hAnsi="Times New Roman" w:eastAsia="Times New Roman" w:cs="Times New Roman"/>
          <w:b/>
          <w:bCs/>
          <w:color w:val="000000"/>
          <w:sz w:val="32"/>
          <w:szCs w:val="32"/>
        </w:rPr>
      </w:pPr>
    </w:p>
    <w:p>
      <w:pPr>
        <w:spacing w:after="200"/>
        <w:rPr>
          <w:rFonts w:ascii="Times New Roman" w:hAnsi="Times New Roman" w:eastAsia="Times New Roman" w:cs="Times New Roman"/>
          <w:b/>
          <w:bCs/>
          <w:color w:val="000000"/>
          <w:sz w:val="32"/>
          <w:szCs w:val="32"/>
        </w:rPr>
      </w:pPr>
    </w:p>
    <w:p>
      <w:pPr>
        <w:spacing w:after="200"/>
        <w:rPr>
          <w:rFonts w:ascii="Times New Roman" w:hAnsi="Times New Roman" w:eastAsia="Times New Roman" w:cs="Times New Roman"/>
          <w:color w:val="000000"/>
          <w:sz w:val="32"/>
          <w:szCs w:val="32"/>
        </w:rPr>
      </w:pPr>
      <w:r>
        <w:rPr>
          <w:rFonts w:ascii="Times New Roman" w:hAnsi="Times New Roman" w:eastAsia="Times New Roman" w:cs="Times New Roman"/>
          <w:b/>
          <w:bCs/>
          <w:color w:val="000000"/>
          <w:sz w:val="32"/>
          <w:szCs w:val="32"/>
        </w:rPr>
        <w:t xml:space="preserve">CO4 Statement: </w:t>
      </w:r>
      <w:r>
        <w:rPr>
          <w:rFonts w:ascii="Times New Roman" w:hAnsi="Times New Roman" w:eastAsia="Times New Roman" w:cs="Times New Roman"/>
          <w:color w:val="000000"/>
          <w:sz w:val="32"/>
          <w:szCs w:val="32"/>
        </w:rPr>
        <w:t>Implement robust testing, quality assurance, and DevOps practices, emphasizing security, reliability, and ethics</w:t>
      </w:r>
    </w:p>
    <w:p>
      <w:pPr>
        <w:spacing w:after="200"/>
        <w:rPr>
          <w:rFonts w:ascii="Times New Roman" w:hAnsi="Times New Roman" w:eastAsia="Times New Roman" w:cs="Times New Roman"/>
          <w:color w:val="000000"/>
          <w:sz w:val="32"/>
          <w:szCs w:val="32"/>
        </w:rPr>
      </w:pPr>
    </w:p>
    <w:p>
      <w:pPr>
        <w:spacing w:after="200"/>
        <w:rPr>
          <w:rFonts w:ascii="Times New Roman" w:hAnsi="Times New Roman" w:eastAsia="Times New Roman" w:cs="Times New Roman"/>
          <w:color w:val="000000"/>
          <w:sz w:val="32"/>
          <w:szCs w:val="32"/>
        </w:rPr>
      </w:pPr>
    </w:p>
    <w:p>
      <w:pPr>
        <w:spacing w:after="160"/>
      </w:pPr>
      <w:r>
        <w:rPr>
          <w:rFonts w:ascii="Times New Roman" w:hAnsi="Times New Roman" w:eastAsia="Times New Roman" w:cs="Times New Roman"/>
          <w:b/>
          <w:bCs/>
          <w:color w:val="000000"/>
          <w:sz w:val="32"/>
          <w:szCs w:val="32"/>
        </w:rPr>
        <w:t xml:space="preserve">Student Name: </w:t>
      </w:r>
      <w:r>
        <w:rPr>
          <w:rFonts w:ascii="Times New Roman" w:hAnsi="Times New Roman" w:eastAsia="Times New Roman" w:cs="Times New Roman"/>
          <w:color w:val="000000"/>
          <w:sz w:val="32"/>
          <w:szCs w:val="32"/>
        </w:rPr>
        <w:t xml:space="preserve">Ashwin S      </w:t>
      </w:r>
      <w:r>
        <w:rPr>
          <w:rFonts w:ascii="Times New Roman" w:hAnsi="Times New Roman" w:eastAsia="Times New Roman" w:cs="Times New Roman"/>
          <w:b/>
          <w:bCs/>
          <w:color w:val="000000"/>
          <w:sz w:val="32"/>
          <w:szCs w:val="32"/>
        </w:rPr>
        <w:t xml:space="preserve">Reg. No.: </w:t>
      </w:r>
      <w:r>
        <w:rPr>
          <w:rFonts w:ascii="Times New Roman" w:hAnsi="Times New Roman" w:eastAsia="Times New Roman" w:cs="Times New Roman"/>
          <w:color w:val="000000"/>
          <w:sz w:val="32"/>
          <w:szCs w:val="32"/>
        </w:rPr>
        <w:t>192311410</w:t>
      </w:r>
    </w:p>
    <w:p>
      <w:pPr>
        <w:spacing w:after="160"/>
        <w:rPr>
          <w:rFonts w:ascii="Times New Roman" w:hAnsi="Times New Roman" w:eastAsia="Times New Roman" w:cs="Times New Roman"/>
          <w:color w:val="000000"/>
          <w:sz w:val="32"/>
          <w:szCs w:val="32"/>
        </w:rPr>
      </w:pPr>
      <w:r>
        <w:rPr>
          <w:rFonts w:ascii="Times New Roman" w:hAnsi="Times New Roman" w:eastAsia="Times New Roman" w:cs="Times New Roman"/>
          <w:b/>
          <w:bCs/>
          <w:color w:val="000000"/>
          <w:sz w:val="32"/>
          <w:szCs w:val="32"/>
        </w:rPr>
        <w:t xml:space="preserve">Date: </w:t>
      </w:r>
      <w:r>
        <w:rPr>
          <w:rFonts w:ascii="Times New Roman" w:hAnsi="Times New Roman" w:eastAsia="Times New Roman" w:cs="Times New Roman"/>
          <w:color w:val="000000"/>
          <w:sz w:val="32"/>
          <w:szCs w:val="32"/>
        </w:rPr>
        <w:t xml:space="preserve">19-08-2026      </w:t>
      </w:r>
    </w:p>
    <w:p>
      <w:pPr>
        <w:spacing w:after="160"/>
        <w:rPr>
          <w:rFonts w:hint="default" w:ascii="Times New Roman" w:hAnsi="Times New Roman" w:eastAsia="Times New Roman" w:cs="Times New Roman"/>
          <w:color w:val="000000"/>
          <w:sz w:val="32"/>
          <w:szCs w:val="32"/>
          <w:lang w:val="en-US"/>
        </w:rPr>
      </w:pPr>
      <w:bookmarkStart w:id="0" w:name="_GoBack"/>
      <w:bookmarkEnd w:id="0"/>
    </w:p>
    <w:p>
      <w:pPr>
        <w:pBdr>
          <w:bottom w:val="single" w:color="AAAAAA" w:sz="6" w:space="1"/>
        </w:pBdr>
        <w:spacing w:after="200"/>
      </w:pPr>
    </w:p>
    <w:p>
      <w:pPr>
        <w:spacing w:after="100"/>
      </w:pPr>
      <w:r>
        <w:rPr>
          <w:rFonts w:ascii="Times New Roman" w:hAnsi="Times New Roman" w:eastAsia="Times New Roman" w:cs="Times New Roman"/>
          <w:b/>
          <w:bCs/>
          <w:color w:val="000000"/>
          <w:sz w:val="32"/>
          <w:szCs w:val="32"/>
        </w:rPr>
        <w:t>Code of Conduct</w:t>
      </w:r>
    </w:p>
    <w:p>
      <w:pPr>
        <w:spacing w:after="160" w:line="340" w:lineRule="auto"/>
      </w:pPr>
      <w:r>
        <w:rPr>
          <w:rFonts w:ascii="Times New Roman" w:hAnsi="Times New Roman" w:eastAsia="Times New Roman" w:cs="Times New Roman"/>
          <w:color w:val="000000"/>
          <w:sz w:val="32"/>
          <w:szCs w:val="32"/>
        </w:rPr>
        <w:t xml:space="preserve">I </w:t>
      </w:r>
      <w:r>
        <w:rPr>
          <w:rFonts w:ascii="Times New Roman" w:hAnsi="Times New Roman" w:eastAsia="Times New Roman" w:cs="Times New Roman"/>
          <w:b/>
          <w:bCs/>
          <w:color w:val="000000"/>
          <w:sz w:val="32"/>
          <w:szCs w:val="32"/>
          <w:u w:val="single"/>
        </w:rPr>
        <w:t>Ashwin S / 192311410</w:t>
      </w:r>
      <w:r>
        <w:rPr>
          <w:rFonts w:ascii="Times New Roman" w:hAnsi="Times New Roman" w:eastAsia="Times New Roman" w:cs="Times New Roman"/>
          <w:color w:val="000000"/>
          <w:sz w:val="32"/>
          <w:szCs w:val="32"/>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400"/>
      </w:pPr>
      <w:r>
        <w:rPr>
          <w:rFonts w:ascii="Times New Roman" w:hAnsi="Times New Roman" w:eastAsia="Times New Roman" w:cs="Times New Roman"/>
          <w:b/>
          <w:bCs/>
          <w:color w:val="000000"/>
          <w:sz w:val="32"/>
          <w:szCs w:val="32"/>
        </w:rPr>
        <w:t xml:space="preserve">Signature of the Student: </w:t>
      </w:r>
      <w:r>
        <w:rPr>
          <w:rFonts w:ascii="Times New Roman" w:hAnsi="Times New Roman" w:eastAsia="Times New Roman" w:cs="Times New Roman"/>
          <w:color w:val="000000"/>
          <w:sz w:val="32"/>
          <w:szCs w:val="32"/>
        </w:rPr>
        <w:t>_________________________</w:t>
      </w:r>
    </w:p>
    <w:p>
      <w:r>
        <w:br w:type="page"/>
      </w:r>
    </w:p>
    <w:p>
      <w:pPr>
        <w:pStyle w:val="2"/>
        <w:spacing w:before="300" w:after="160"/>
      </w:pPr>
      <w:r>
        <w:rPr>
          <w:rFonts w:ascii="Times New Roman" w:hAnsi="Times New Roman" w:eastAsia="Times New Roman" w:cs="Times New Roman"/>
          <w:b/>
          <w:bCs/>
          <w:color w:val="000000"/>
          <w:sz w:val="32"/>
          <w:szCs w:val="32"/>
          <w:u w:val="single"/>
        </w:rPr>
        <w:t>Annexure A – Test Case Design Assignment</w:t>
      </w:r>
    </w:p>
    <w:p>
      <w:pPr>
        <w:spacing w:after="160" w:line="340" w:lineRule="auto"/>
      </w:pPr>
      <w:r>
        <w:rPr>
          <w:rFonts w:ascii="Times New Roman" w:hAnsi="Times New Roman" w:eastAsia="Times New Roman" w:cs="Times New Roman"/>
          <w:color w:val="000000"/>
          <w:sz w:val="32"/>
          <w:szCs w:val="32"/>
        </w:rPr>
        <w:t>Assigned Problem Statement: Intelligent Hospital Asset Tracking and Equipment Management Platform. Test cases in this document were executed against the working Sprint 1 prototype (the same implementation reviewed in the CO3 Code Review &amp; Repository Evaluation submission), so every Expected Result is paired with a genuinely observed Actual Result rather than an assumed one.</w:t>
      </w:r>
    </w:p>
    <w:p>
      <w:pPr>
        <w:pStyle w:val="2"/>
        <w:spacing w:before="300" w:after="160"/>
      </w:pPr>
      <w:r>
        <w:rPr>
          <w:rFonts w:ascii="Times New Roman" w:hAnsi="Times New Roman" w:eastAsia="Times New Roman" w:cs="Times New Roman"/>
          <w:b/>
          <w:bCs/>
          <w:color w:val="000000"/>
          <w:sz w:val="32"/>
          <w:szCs w:val="32"/>
          <w:u w:val="single"/>
        </w:rPr>
        <w:t>1. Functional and Non-Functional Requirements to be Tested</w:t>
      </w:r>
    </w:p>
    <w:p>
      <w:pPr>
        <w:pStyle w:val="3"/>
        <w:spacing w:before="220" w:after="120"/>
      </w:pPr>
      <w:r>
        <w:rPr>
          <w:rFonts w:ascii="Times New Roman" w:hAnsi="Times New Roman" w:eastAsia="Times New Roman" w:cs="Times New Roman"/>
          <w:b/>
          <w:bCs/>
          <w:color w:val="000000"/>
          <w:sz w:val="32"/>
          <w:szCs w:val="32"/>
        </w:rPr>
        <w:t>1.1 Functional Requirements Covered by This Test Cycle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2"/>
                <w:szCs w:val="22"/>
              </w:rPr>
              <w:t>ID</w:t>
            </w:r>
          </w:p>
        </w:tc>
        <w:tc>
          <w:tcPr>
            <w:tcW w:w="63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2"/>
                <w:szCs w:val="22"/>
              </w:rPr>
              <w:t>Requirement</w:t>
            </w:r>
          </w:p>
        </w:tc>
        <w:tc>
          <w:tcPr>
            <w:tcW w:w="20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2"/>
                <w:szCs w:val="22"/>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FR-01</w:t>
            </w:r>
          </w:p>
        </w:tc>
        <w:tc>
          <w:tcPr>
            <w:tcW w:w="6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The system shall allow authorized users to log in using role-based credentials.</w:t>
            </w:r>
          </w:p>
        </w:tc>
        <w:tc>
          <w:tcPr>
            <w:tcW w:w="20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Implemented — tested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FR-02</w:t>
            </w:r>
          </w:p>
        </w:tc>
        <w:tc>
          <w:tcPr>
            <w:tcW w:w="6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The system shall allow an asset manager to register a new asset with a unique asset ID.</w:t>
            </w:r>
          </w:p>
        </w:tc>
        <w:tc>
          <w:tcPr>
            <w:tcW w:w="20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Implemented — tested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FR-03</w:t>
            </w:r>
          </w:p>
        </w:tc>
        <w:tc>
          <w:tcPr>
            <w:tcW w:w="6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A unique tracking-device ID shall be associated with a registered asset; duplicate device IDs are rejected.</w:t>
            </w:r>
          </w:p>
        </w:tc>
        <w:tc>
          <w:tcPr>
            <w:tcW w:w="20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Implemented — tested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FR-06</w:t>
            </w:r>
          </w:p>
        </w:tc>
        <w:tc>
          <w:tcPr>
            <w:tcW w:w="6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A user shall be able to search for an asset by ID or name and view its location, status, and confidence.</w:t>
            </w:r>
          </w:p>
        </w:tc>
        <w:tc>
          <w:tcPr>
            <w:tcW w:w="20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Implemented — tested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FR-12</w:t>
            </w:r>
          </w:p>
        </w:tc>
        <w:tc>
          <w:tcPr>
            <w:tcW w:w="6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Role-based dashboards/endpoints shall restrict data to what is relevant to each actor.</w:t>
            </w:r>
          </w:p>
        </w:tc>
        <w:tc>
          <w:tcPr>
            <w:tcW w:w="20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Implemented — tested (API layer)</w:t>
            </w:r>
          </w:p>
        </w:tc>
      </w:tr>
    </w:tbl>
    <w:p>
      <w:pPr>
        <w:spacing w:before="160"/>
      </w:pPr>
    </w:p>
    <w:p>
      <w:pPr>
        <w:spacing w:after="160" w:line="340" w:lineRule="auto"/>
      </w:pPr>
      <w:r>
        <w:rPr>
          <w:rFonts w:ascii="Times New Roman" w:hAnsi="Times New Roman" w:eastAsia="Times New Roman" w:cs="Times New Roman"/>
          <w:color w:val="000000"/>
          <w:sz w:val="32"/>
          <w:szCs w:val="32"/>
        </w:rPr>
        <w:t>The following requirements from the platform's full Software Requirement Specification are out of scope for this test cycle, since they belong to later sprints and are not yet implemented in the codebase under test:</w:t>
      </w:r>
    </w:p>
    <w:p>
      <w:pPr>
        <w:pStyle w:val="17"/>
        <w:numPr>
          <w:ilvl w:val="0"/>
          <w:numId w:val="1"/>
        </w:numPr>
        <w:spacing w:after="100" w:line="320" w:lineRule="auto"/>
      </w:pPr>
      <w:r>
        <w:rPr>
          <w:rFonts w:ascii="Times New Roman" w:hAnsi="Times New Roman" w:eastAsia="Times New Roman" w:cs="Times New Roman"/>
          <w:color w:val="000000"/>
          <w:sz w:val="32"/>
          <w:szCs w:val="32"/>
        </w:rPr>
        <w:t>FR-04/FR-05 — RFID/BLE gateway event processing and IoT sensor ingestion.</w:t>
      </w:r>
    </w:p>
    <w:p>
      <w:pPr>
        <w:pStyle w:val="17"/>
        <w:numPr>
          <w:ilvl w:val="0"/>
          <w:numId w:val="1"/>
        </w:numPr>
        <w:spacing w:after="100" w:line="320" w:lineRule="auto"/>
      </w:pPr>
      <w:r>
        <w:rPr>
          <w:rFonts w:ascii="Times New Roman" w:hAnsi="Times New Roman" w:eastAsia="Times New Roman" w:cs="Times New Roman"/>
          <w:color w:val="000000"/>
          <w:sz w:val="32"/>
          <w:szCs w:val="32"/>
        </w:rPr>
        <w:t>FR-07/FR-08 — rule-engine and ML-based failure-risk evaluation.</w:t>
      </w:r>
    </w:p>
    <w:p>
      <w:pPr>
        <w:pStyle w:val="17"/>
        <w:numPr>
          <w:ilvl w:val="0"/>
          <w:numId w:val="1"/>
        </w:numPr>
        <w:spacing w:after="100" w:line="320" w:lineRule="auto"/>
      </w:pPr>
      <w:r>
        <w:rPr>
          <w:rFonts w:ascii="Times New Roman" w:hAnsi="Times New Roman" w:eastAsia="Times New Roman" w:cs="Times New Roman"/>
          <w:color w:val="000000"/>
          <w:sz w:val="32"/>
          <w:szCs w:val="32"/>
        </w:rPr>
        <w:t>FR-09/FR-10 — automated maintenance alerting and maintenance-record workflow.</w:t>
      </w:r>
    </w:p>
    <w:p>
      <w:pPr>
        <w:pStyle w:val="17"/>
        <w:numPr>
          <w:ilvl w:val="0"/>
          <w:numId w:val="1"/>
        </w:numPr>
        <w:spacing w:after="100" w:line="320" w:lineRule="auto"/>
      </w:pPr>
      <w:r>
        <w:rPr>
          <w:rFonts w:ascii="Times New Roman" w:hAnsi="Times New Roman" w:eastAsia="Times New Roman" w:cs="Times New Roman"/>
          <w:color w:val="000000"/>
          <w:sz w:val="32"/>
          <w:szCs w:val="32"/>
        </w:rPr>
        <w:t>FR-11 — historical movement/usage/maintenance logging.</w:t>
      </w:r>
    </w:p>
    <w:p>
      <w:pPr>
        <w:pStyle w:val="3"/>
        <w:spacing w:before="220" w:after="120"/>
      </w:pPr>
      <w:r>
        <w:rPr>
          <w:rFonts w:ascii="Times New Roman" w:hAnsi="Times New Roman" w:eastAsia="Times New Roman" w:cs="Times New Roman"/>
          <w:b/>
          <w:bCs/>
          <w:color w:val="000000"/>
          <w:sz w:val="32"/>
          <w:szCs w:val="32"/>
        </w:rPr>
        <w:t>1.2 Non-Functional Requirements Covered by This Test Cycle</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Security (NFR-04): </w:t>
      </w:r>
      <w:r>
        <w:rPr>
          <w:rFonts w:ascii="Times New Roman" w:hAnsi="Times New Roman" w:eastAsia="Times New Roman" w:cs="Times New Roman"/>
          <w:color w:val="000000"/>
          <w:sz w:val="32"/>
          <w:szCs w:val="32"/>
        </w:rPr>
        <w:t>tested via authentication rejection (TC-02, TC-03, TC-06, TC-07) and role-based access control (TC-14, TC-28, TC-29).</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Reliability (NFR-03): </w:t>
      </w:r>
      <w:r>
        <w:rPr>
          <w:rFonts w:ascii="Times New Roman" w:hAnsi="Times New Roman" w:eastAsia="Times New Roman" w:cs="Times New Roman"/>
          <w:color w:val="000000"/>
          <w:sz w:val="32"/>
          <w:szCs w:val="32"/>
        </w:rPr>
        <w:t>tested indirectly via consistent, correct rejection of invalid input across repeated equivalent requests (TC-09, TC-13, TC-17, TC-20).</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Usability (NFR-05) / Data integrity: </w:t>
      </w:r>
      <w:r>
        <w:rPr>
          <w:rFonts w:ascii="Times New Roman" w:hAnsi="Times New Roman" w:eastAsia="Times New Roman" w:cs="Times New Roman"/>
          <w:color w:val="000000"/>
          <w:sz w:val="32"/>
          <w:szCs w:val="32"/>
        </w:rPr>
        <w:t>assessed via boundary and empty-input handling (TC-10, TC-11, TC-12, TC-19, TC-25), which is where two data-validation defects were found (Section 5).</w:t>
      </w:r>
    </w:p>
    <w:p>
      <w:pPr>
        <w:spacing w:after="160" w:line="340" w:lineRule="auto"/>
      </w:pPr>
      <w:r>
        <w:rPr>
          <w:rFonts w:ascii="Times New Roman" w:hAnsi="Times New Roman" w:eastAsia="Times New Roman" w:cs="Times New Roman"/>
          <w:color w:val="000000"/>
          <w:sz w:val="32"/>
          <w:szCs w:val="32"/>
        </w:rPr>
        <w:t>Performance (NFR-01) and full availability/scalability testing (NFR-02) require load-testing tools beyond the scope of this functional test cycle and are noted as future work in Section 7.</w:t>
      </w:r>
    </w:p>
    <w:p>
      <w:pPr>
        <w:pStyle w:val="2"/>
        <w:spacing w:before="300" w:after="160"/>
      </w:pPr>
      <w:r>
        <w:rPr>
          <w:rFonts w:ascii="Times New Roman" w:hAnsi="Times New Roman" w:eastAsia="Times New Roman" w:cs="Times New Roman"/>
          <w:b/>
          <w:bCs/>
          <w:color w:val="000000"/>
          <w:sz w:val="32"/>
          <w:szCs w:val="32"/>
          <w:u w:val="single"/>
        </w:rPr>
        <w:t>2. Test Scenarios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10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1"/>
                <w:szCs w:val="21"/>
              </w:rPr>
              <w:t>Scenario ID</w:t>
            </w:r>
          </w:p>
        </w:tc>
        <w:tc>
          <w:tcPr>
            <w:tcW w:w="61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1"/>
                <w:szCs w:val="21"/>
              </w:rPr>
              <w:t>Scenario</w:t>
            </w:r>
          </w:p>
        </w:tc>
        <w:tc>
          <w:tcPr>
            <w:tcW w:w="18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1"/>
                <w:szCs w:val="21"/>
              </w:rPr>
              <w:t>Requirement(s) Covered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TS-01</w:t>
            </w:r>
          </w:p>
        </w:tc>
        <w:tc>
          <w:tcPr>
            <w:tcW w:w="61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User authentication — valid and invalid login, and access to protected routes without a valid token.</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FR-01, NFR-04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TS-02</w:t>
            </w:r>
          </w:p>
        </w:tc>
        <w:tc>
          <w:tcPr>
            <w:tcW w:w="61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Asset registration — valid registration, duplicate IDs, missing fields, boundary-length IDs, and role restriction.</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FR-02, NFR-04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TS-03</w:t>
            </w:r>
          </w:p>
        </w:tc>
        <w:tc>
          <w:tcPr>
            <w:tcW w:w="61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RFID/BLE tracking-device association — valid association, duplicate device IDs, non-existent assets, and missing/empty fields.</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FR-03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TS-04</w:t>
            </w:r>
          </w:p>
        </w:tc>
        <w:tc>
          <w:tcPr>
            <w:tcW w:w="61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Asset search — exact match, partial match, case-insensitivity, no-match, and empty-query behavior.</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FR-06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TS-05</w:t>
            </w:r>
          </w:p>
        </w:tc>
        <w:tc>
          <w:tcPr>
            <w:tcW w:w="61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Administrator inventory listing and role-based access control across endpoints.</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1"/>
                <w:szCs w:val="21"/>
              </w:rPr>
              <w:t>FR-12, NFR-04</w:t>
            </w:r>
          </w:p>
        </w:tc>
      </w:tr>
    </w:tbl>
    <w:p>
      <w:pPr>
        <w:pStyle w:val="2"/>
        <w:spacing w:before="300" w:after="160"/>
      </w:pPr>
      <w:r>
        <w:rPr>
          <w:rFonts w:ascii="Times New Roman" w:hAnsi="Times New Roman" w:eastAsia="Times New Roman" w:cs="Times New Roman"/>
          <w:b/>
          <w:bCs/>
          <w:color w:val="000000"/>
          <w:sz w:val="32"/>
          <w:szCs w:val="32"/>
          <w:u w:val="single"/>
        </w:rPr>
        <w:t>3. Test Design Techniques Applied</w:t>
      </w:r>
    </w:p>
    <w:p>
      <w:pPr>
        <w:pStyle w:val="3"/>
        <w:spacing w:before="220" w:after="120"/>
      </w:pPr>
      <w:r>
        <w:rPr>
          <w:rFonts w:ascii="Times New Roman" w:hAnsi="Times New Roman" w:eastAsia="Times New Roman" w:cs="Times New Roman"/>
          <w:b/>
          <w:bCs/>
          <w:color w:val="000000"/>
          <w:sz w:val="32"/>
          <w:szCs w:val="32"/>
        </w:rPr>
        <w:t>3.1 Equivalence Partitioning</w:t>
      </w:r>
    </w:p>
    <w:p>
      <w:pPr>
        <w:spacing w:after="160" w:line="340" w:lineRule="auto"/>
      </w:pPr>
      <w:r>
        <w:rPr>
          <w:rFonts w:ascii="Times New Roman" w:hAnsi="Times New Roman" w:eastAsia="Times New Roman" w:cs="Times New Roman"/>
          <w:color w:val="000000"/>
          <w:sz w:val="32"/>
          <w:szCs w:val="32"/>
        </w:rPr>
        <w:t>Inputs were partitioned into valid and invalid classes so that one representative test case per class stands in for the whole class: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0"/>
                <w:szCs w:val="20"/>
              </w:rPr>
              <w:t>Input Field</w:t>
            </w:r>
          </w:p>
        </w:tc>
        <w:tc>
          <w:tcPr>
            <w:tcW w:w="33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0"/>
                <w:szCs w:val="20"/>
              </w:rPr>
              <w:t>Valid Class</w:t>
            </w:r>
          </w:p>
        </w:tc>
        <w:tc>
          <w:tcPr>
            <w:tcW w:w="33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0"/>
                <w:szCs w:val="20"/>
              </w:rPr>
              <w:t>Invalid Class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username / password</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Registered username with its correct password (TC-01)</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Wrong password (TC-02); unknown username (TC-03)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asset_id (registration)</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Non-empty, unregistered ID (TC-08)</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Already-registered ID (TC-09)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device_id (association)</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Non-empty, unassigned device ID (TC-16)</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Device ID already assigned elsewhere (TC-17)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search query (q)</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A string matching an existing asset ID/name (TC-21, TC-22)</w:t>
            </w:r>
          </w:p>
        </w:tc>
        <w:tc>
          <w:tcPr>
            <w:tcW w:w="33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A string matching no asset (TC-24)</w:t>
            </w:r>
          </w:p>
        </w:tc>
      </w:tr>
    </w:tbl>
    <w:p>
      <w:pPr>
        <w:pStyle w:val="3"/>
        <w:spacing w:before="220" w:after="120"/>
      </w:pPr>
      <w:r>
        <w:rPr>
          <w:rFonts w:ascii="Times New Roman" w:hAnsi="Times New Roman" w:eastAsia="Times New Roman" w:cs="Times New Roman"/>
          <w:b/>
          <w:bCs/>
          <w:color w:val="000000"/>
          <w:sz w:val="32"/>
          <w:szCs w:val="32"/>
        </w:rPr>
        <w:t>3.2 Boundary Value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0"/>
                <w:szCs w:val="20"/>
              </w:rPr>
              <w:t>Field</w:t>
            </w:r>
          </w:p>
        </w:tc>
        <w:tc>
          <w:tcPr>
            <w:tcW w:w="42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0"/>
                <w:szCs w:val="20"/>
              </w:rPr>
              <w:t>Boundary Tested</w:t>
            </w:r>
          </w:p>
        </w:tc>
        <w:tc>
          <w:tcPr>
            <w:tcW w:w="24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0"/>
                <w:szCs w:val="20"/>
              </w:rPr>
              <w:t>Test Case(s)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asset_id length</w:t>
            </w:r>
          </w:p>
        </w:tc>
        <w:tc>
          <w:tcPr>
            <w:tcW w:w="4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Empty string (0 chars) / 1 character / 300 characters</w:t>
            </w:r>
          </w:p>
        </w:tc>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TC-10, TC-11, TC-12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device_id length</w:t>
            </w:r>
          </w:p>
        </w:tc>
        <w:tc>
          <w:tcPr>
            <w:tcW w:w="4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Empty string (0 chars)</w:t>
            </w:r>
          </w:p>
        </w:tc>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TC-19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search query</w:t>
            </w:r>
          </w:p>
        </w:tc>
        <w:tc>
          <w:tcPr>
            <w:tcW w:w="4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Empty string (matches every record)</w:t>
            </w:r>
          </w:p>
        </w:tc>
        <w:tc>
          <w:tcPr>
            <w:tcW w:w="24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0"/>
                <w:szCs w:val="20"/>
              </w:rPr>
              <w:t>TC-25</w:t>
            </w:r>
          </w:p>
        </w:tc>
      </w:tr>
    </w:tbl>
    <w:p>
      <w:pPr>
        <w:pStyle w:val="3"/>
        <w:spacing w:before="220" w:after="120"/>
      </w:pPr>
      <w:r>
        <w:rPr>
          <w:rFonts w:ascii="Times New Roman" w:hAnsi="Times New Roman" w:eastAsia="Times New Roman" w:cs="Times New Roman"/>
          <w:b/>
          <w:bCs/>
          <w:color w:val="000000"/>
          <w:sz w:val="32"/>
          <w:szCs w:val="32"/>
        </w:rPr>
        <w:t>3.3 Decision Table — Role-Based Access Control</w:t>
      </w:r>
    </w:p>
    <w:p>
      <w:pPr>
        <w:spacing w:after="160" w:line="340" w:lineRule="auto"/>
      </w:pPr>
      <w:r>
        <w:rPr>
          <w:rFonts w:ascii="Times New Roman" w:hAnsi="Times New Roman" w:eastAsia="Times New Roman" w:cs="Times New Roman"/>
          <w:color w:val="000000"/>
          <w:sz w:val="32"/>
          <w:szCs w:val="32"/>
        </w:rPr>
        <w:t>Access to each protected endpoint depends on the caller's role. The table below is the decision logic actually enforced by the API, with the test case that verifies each cell: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0"/>
        <w:gridCol w:w="1890"/>
        <w:gridCol w:w="1891"/>
        <w:gridCol w:w="1696"/>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8"/>
                <w:szCs w:val="18"/>
              </w:rPr>
              <w:t>Role</w:t>
            </w:r>
          </w:p>
        </w:tc>
        <w:tc>
          <w:tcPr>
            <w:tcW w:w="19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8"/>
                <w:szCs w:val="18"/>
              </w:rPr>
              <w:t>POST /assets (Register)</w:t>
            </w:r>
          </w:p>
        </w:tc>
        <w:tc>
          <w:tcPr>
            <w:tcW w:w="19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8"/>
                <w:szCs w:val="18"/>
              </w:rPr>
              <w:t>POST /tracking-device</w:t>
            </w:r>
          </w:p>
        </w:tc>
        <w:tc>
          <w:tcPr>
            <w:tcW w:w="17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8"/>
                <w:szCs w:val="18"/>
              </w:rPr>
              <w:t>GET /assets/search</w:t>
            </w:r>
          </w:p>
        </w:tc>
        <w:tc>
          <w:tcPr>
            <w:tcW w:w="18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8"/>
                <w:szCs w:val="18"/>
              </w:rPr>
              <w:t>GET /assets (Inventory)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nurse</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 (TC-14)</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w:t>
            </w:r>
          </w:p>
        </w:tc>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 (TC-21)</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 (TC-28)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asset_manager</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 (TC-08)</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 (TC-16)</w:t>
            </w:r>
          </w:p>
        </w:tc>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 (TC-29)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biomedical_engineer</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w:t>
            </w:r>
          </w:p>
        </w:tc>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 (TC-26)</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administrator</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Deny*</w:t>
            </w:r>
          </w:p>
        </w:tc>
        <w:tc>
          <w:tcPr>
            <w:tcW w:w="1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w:t>
            </w:r>
          </w:p>
        </w:tc>
        <w:tc>
          <w:tcPr>
            <w:tcW w:w="1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8"/>
                <w:szCs w:val="18"/>
              </w:rPr>
              <w:t>Allow (TC-27)</w:t>
            </w:r>
          </w:p>
        </w:tc>
      </w:tr>
    </w:tbl>
    <w:p>
      <w:pPr>
        <w:spacing w:after="160" w:line="340" w:lineRule="auto"/>
      </w:pPr>
      <w:r>
        <w:rPr>
          <w:rFonts w:ascii="Times New Roman" w:hAnsi="Times New Roman" w:eastAsia="Times New Roman" w:cs="Times New Roman"/>
          <w:i/>
          <w:iCs/>
          <w:color w:val="000000"/>
          <w:sz w:val="26"/>
          <w:szCs w:val="26"/>
        </w:rPr>
        <w:t>* Cells marked with an asterisk follow directly from the same require_role() rule verified elsewhere in the table and were not separately executed as distinct test cases in this cycle, but are covered by code inspection of the single shared access-control dependency (see the CO3 Code Review submission).</w:t>
      </w:r>
    </w:p>
    <w:p>
      <w:pPr>
        <w:pStyle w:val="3"/>
        <w:spacing w:before="220" w:after="120"/>
      </w:pPr>
      <w:r>
        <w:rPr>
          <w:rFonts w:ascii="Times New Roman" w:hAnsi="Times New Roman" w:eastAsia="Times New Roman" w:cs="Times New Roman"/>
          <w:b/>
          <w:bCs/>
          <w:color w:val="000000"/>
          <w:sz w:val="32"/>
          <w:szCs w:val="32"/>
        </w:rPr>
        <w:t>3.4 State Transition Testing (Planned — Not Yet Executable)</w:t>
      </w:r>
    </w:p>
    <w:p>
      <w:pPr>
        <w:spacing w:after="160" w:line="340" w:lineRule="auto"/>
      </w:pPr>
      <w:r>
        <w:rPr>
          <w:rFonts w:ascii="Times New Roman" w:hAnsi="Times New Roman" w:eastAsia="Times New Roman" w:cs="Times New Roman"/>
          <w:color w:val="000000"/>
          <w:sz w:val="32"/>
          <w:szCs w:val="32"/>
        </w:rPr>
        <w:t>The full platform's design specifies an asset status lifecycle of Available → In Use → Maintenance Required → Available. The current Sprint 1 prototype only ever sets status to "Available" at registration and does not yet implement transitions triggered by utilization monitoring or the maintenance workflow, so state transition testing cannot be meaningfully executed against this build. The planned test cases below are documented now so they are ready to execute once that logic is implemented in a later sprint: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200"/>
        <w:gridCol w:w="2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Transition</w:t>
            </w:r>
          </w:p>
        </w:tc>
        <w:tc>
          <w:tcPr>
            <w:tcW w:w="32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Trigger (Planned)</w:t>
            </w:r>
          </w:p>
        </w:tc>
        <w:tc>
          <w:tcPr>
            <w:tcW w:w="29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Planned Test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Available → In Use</w:t>
            </w:r>
          </w:p>
        </w:tc>
        <w:tc>
          <w:tcPr>
            <w:tcW w:w="3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IoT sensor reports active operation</w:t>
            </w:r>
          </w:p>
        </w:tc>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Verify status updates when usage begins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In Use → Available</w:t>
            </w:r>
          </w:p>
        </w:tc>
        <w:tc>
          <w:tcPr>
            <w:tcW w:w="3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IoT sensor reports operation has stopped</w:t>
            </w:r>
          </w:p>
        </w:tc>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Verify status reverts when usage ends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Available/In Use → Maintenance Required</w:t>
            </w:r>
          </w:p>
        </w:tc>
        <w:tc>
          <w:tcPr>
            <w:tcW w:w="3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Rule engine or ML risk score exceeds threshold</w:t>
            </w:r>
          </w:p>
        </w:tc>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Verify status changes and a work order is created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Maintenance Required → Available</w:t>
            </w:r>
          </w:p>
        </w:tc>
        <w:tc>
          <w:tcPr>
            <w:tcW w:w="32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Biomedical engineer completes and closes the work order</w:t>
            </w:r>
          </w:p>
        </w:tc>
        <w:tc>
          <w:tcPr>
            <w:tcW w:w="2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Verify status reverts only after maintenance is marked complete</w:t>
            </w:r>
          </w:p>
        </w:tc>
      </w:tr>
    </w:tbl>
    <w:p>
      <w:pPr>
        <w:pStyle w:val="2"/>
        <w:spacing w:before="300" w:after="160"/>
      </w:pPr>
      <w:r>
        <w:rPr>
          <w:rFonts w:ascii="Times New Roman" w:hAnsi="Times New Roman" w:eastAsia="Times New Roman" w:cs="Times New Roman"/>
          <w:b/>
          <w:bCs/>
          <w:color w:val="000000"/>
          <w:sz w:val="32"/>
          <w:szCs w:val="32"/>
          <w:u w:val="single"/>
        </w:rPr>
        <w:t>4. Detailed Test Cases</w:t>
      </w:r>
    </w:p>
    <w:p>
      <w:pPr>
        <w:pStyle w:val="3"/>
        <w:spacing w:before="220" w:after="120"/>
      </w:pPr>
      <w:r>
        <w:rPr>
          <w:rFonts w:ascii="Times New Roman" w:hAnsi="Times New Roman" w:eastAsia="Times New Roman" w:cs="Times New Roman"/>
          <w:b/>
          <w:bCs/>
          <w:color w:val="000000"/>
          <w:sz w:val="32"/>
          <w:szCs w:val="32"/>
        </w:rPr>
        <w:t>TS-01 — User Authentication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Valid login with correct credentials (asset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POST /auth/login with a registered username and its correct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username=arjun.assetmgr, password=Assets@123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response includes access_token, token_type=bearer, role=asset_manager.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access_token issued; role="asset_manager".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Login with an incorrect password for a valid username.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POST /auth/login with a registered username and a wrong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username=arjun.assetmgr, password=WrongPass1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Unauthorized; login rejected.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{"detail": "Incorrect username or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Login with a username that does not exist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POST /auth/login with a non-existent username.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username=no.such.user, password=whatever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Unauthorized; login rejected.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{"detail": "Incorrect username or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Login attempt with both username and password left empty.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POST /auth/login with empty username and password 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username="",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Request rejected with a validation error (400/422); no token issued.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422; missing/invalid field errors for username and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Login request with the password field omitted entirely.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POST /auth/login with only the username field 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username=arjun.assetmgr (password field absent)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Request rejected with a validation error; no token issued.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422; "password: Field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Access a protected route with no Authorization header at 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GET /assets/search?q=V-102 without an Authorization header.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No token supplied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Unauthorized.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{"detail": "Not authenticated"}.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Access a protected route with a malformed/invalid JWT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GET /assets/search?q=V-102 with a syntactically invalid bearer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Authorization: Bearer not.a.valid.jwt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Unauthorized.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{"detail": "Could not validate credentials"}.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spacing w:after="220"/>
      </w:pPr>
    </w:p>
    <w:p>
      <w:pPr>
        <w:spacing w:after="220"/>
      </w:pPr>
    </w:p>
    <w:p>
      <w:pPr>
        <w:pStyle w:val="3"/>
        <w:spacing w:before="220" w:after="120"/>
      </w:pPr>
      <w:r>
        <w:rPr>
          <w:rFonts w:ascii="Times New Roman" w:hAnsi="Times New Roman" w:eastAsia="Times New Roman" w:cs="Times New Roman"/>
          <w:b/>
          <w:bCs/>
          <w:color w:val="000000"/>
          <w:sz w:val="32"/>
          <w:szCs w:val="32"/>
        </w:rPr>
        <w:t>TS-02 — Asset Registration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 manager registers a new, valid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 with complete, valid asset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asset_id=V-102, name=Ventilator, asset_type=Ventilator, department=ICU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201 Created; asset stored with status="Available".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201; asset created with status="Available".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Register an asset using an asset_id that is already registered.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Register asset V-102 (as in TC-08).
2. Attempt to register a second asset using the same asset_id.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asset_id=V-102 (duplicate)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409 Conflict; second registration rejected.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409; {"detail": "Asset ID 'V-102' is already registered."}.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spacing w:after="220"/>
      </w:pPr>
    </w:p>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Register an asset with an empty string as the asset_id (lower boundary).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 with asset_id set to an empty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Request rejected with a validation error; an empty asset ID should not be accepted as a unique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201 Created — the asset was registered successfully with an empty asset_id.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C62828"/>
                <w:sz w:val="32"/>
                <w:szCs w:val="32"/>
              </w:rPr>
              <w:t>FAIL — see DEFECT-01</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Register an asset with a single-character asset_id (minimum valid boundary).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 with a 1-character asset_id.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201 Created; a short but non-empty ID should be accepted.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201; asset created successfully.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spacing w:after="220"/>
      </w:pPr>
    </w:p>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Register an asset with an unusually long asset_id (upper boundary).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 with a 300-character asset_id.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asset_id="X" × 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System should either accept within a defined maximum length or reject with a clear validation error; behavior should be deliberate, not incidental.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201 Created — accepted with no maximum-length check enforced (see Section 5, 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B5651D"/>
                <w:sz w:val="32"/>
                <w:szCs w:val="32"/>
              </w:rPr>
              <w:t>Pass (Observation)</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Register an asset with required fields (asset_type, department)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 with only asset_id and name provided.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asset_id=V-200, name=Ventilator (asset_type, department absent)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Request rejected with a validation error listing the missing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422; missing-field errors returned for asset_type and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 nurse (unauthorized role) attempts to register an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POST /assets with valid asset details using the nurse's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role=nurse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403 Forbidden; only the asset_manager role may register assets.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403; {"detail": "Role 'nurse' is not permitted to perform this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Register an asset with no authentication token at 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Send POST /assets with valid asset details and no Authorization header.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No token supplied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Unauthorized.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401; {"detail": "Not authenticated"}.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spacing w:after="220"/>
      </w:pPr>
    </w:p>
    <w:p>
      <w:pPr>
        <w:spacing w:after="220"/>
      </w:pPr>
    </w:p>
    <w:p>
      <w:pPr>
        <w:spacing w:after="220"/>
      </w:pPr>
    </w:p>
    <w:p>
      <w:pPr>
        <w:pStyle w:val="3"/>
        <w:spacing w:before="220" w:after="120"/>
      </w:pPr>
      <w:r>
        <w:rPr>
          <w:rFonts w:ascii="Times New Roman" w:hAnsi="Times New Roman" w:eastAsia="Times New Roman" w:cs="Times New Roman"/>
          <w:b/>
          <w:bCs/>
          <w:color w:val="000000"/>
          <w:sz w:val="32"/>
          <w:szCs w:val="32"/>
        </w:rPr>
        <w:t>TS-03 — RFID/BLE Tracking-Device Association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 manager associates a valid RFID/BLE tracking device with a registered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/assets/V-102/tracking-device with a new device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asset_id=V-102, device_id=BLE-90821, device_type=BLE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asset's tracking_device populated with the given device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tracking_device.device_id="BLE-90821" returned in the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Associate a tracking-device ID that is already assigned to a different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Device BLE-90821 already assigned to V-102 (TC-16).
2. Attempt to assign the same device ID to a second asset, V-103.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device_id=BLE-90821 (duplicate, different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409 Conflict; the acceptance criterion from the product backlog requires this rejection.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409; {"detail": "Tracking device 'BLE-90821' is already assigned to another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Associate a tracking device with an asset_id that does not exist.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/assets/DOES-NOT-EXIST/tracking-device with any valid device 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asset_id=DOES-NOT-EXIST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404 Not Found.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404; {"detail": "Asset not found."}.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Associate a tracking device using an empty string as the device_id.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/assets/V-103/tracking-device with device_id set to an empty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device_id=""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Request rejected with a validation error; an empty device ID should not be accepted.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 the empty device ID was accepted and associated with the 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C62828"/>
                <w:sz w:val="32"/>
                <w:szCs w:val="32"/>
              </w:rPr>
              <w:t>FAIL — see DEFECT-02</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Associate a tracking device with the device_type field omitted.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asset manager.
2. Send POST /assets/V-103/tracking-device with only device_id provided.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device_id=RFID-777 (device_type absent)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Request rejected with a validation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422; "device_type: Field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pStyle w:val="3"/>
        <w:spacing w:before="220" w:after="120"/>
      </w:pPr>
      <w:r>
        <w:rPr>
          <w:rFonts w:ascii="Times New Roman" w:hAnsi="Times New Roman" w:eastAsia="Times New Roman" w:cs="Times New Roman"/>
          <w:b/>
          <w:bCs/>
          <w:color w:val="000000"/>
          <w:sz w:val="32"/>
          <w:szCs w:val="32"/>
        </w:rPr>
        <w:t>TS-04 — Asset Search</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Search for equipment by its exact asset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GET /assets/search?q=V-102.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q=V-102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result includes V-102 with location, status, confidence, and last-updated 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one matching result returned with confidence="High".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spacing w:after="220"/>
      </w:pPr>
    </w:p>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Search for equipment using a partial equipment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GET /assets/search?q=Ventilator.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q=Ventilator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all assets whose name contains "Ventilator" are returned.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matching Ventilator asset(s) returned.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Search using different letter casing than the stored asset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GET /assets/search?q=v-102 (lower-case).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q=v-102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case-insensitive match returns the same result as TC-21.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V-102 returned despite the lower-case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spacing w:after="220"/>
      </w:pPr>
    </w:p>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Search for an equipment ID/name that does not exist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GET /assets/search?q=NOT-A-REAL-ASSET.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q=NOT-A-REAL-ASSET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an empty result list, not an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 (empty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Search with an empty query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GET /assets/search?q= (empty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Defined, deliberate behavior — either return all assets or reject the request outright.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all registered assets returned, since an empty search pattern matches every record (see Section 5, 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B5651D"/>
                <w:sz w:val="32"/>
                <w:szCs w:val="32"/>
              </w:rPr>
              <w:t>Pass (Observation)</w:t>
            </w:r>
          </w:p>
        </w:tc>
      </w:tr>
    </w:tbl>
    <w:p>
      <w:pPr>
        <w:spacing w:after="220"/>
      </w:pPr>
    </w:p>
    <w:p>
      <w:pPr>
        <w:spacing w:after="220"/>
      </w:pPr>
    </w:p>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Search for equipment as a biomedical engineer (a permitted, non-manager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biomedical engineer.
2. Send GET /assets/search?q=V-103.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role=biomedical_engineer, q=V-103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search succeeds since all four roles may search.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result returned, but tracking_device_id is an empty string with confidence="High" — a direct downstream effect of DEFECT-02.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B5651D"/>
                <w:sz w:val="32"/>
                <w:szCs w:val="32"/>
              </w:rPr>
              <w:t>Pass (defect side-effect — see DEFECT-02)</w:t>
            </w:r>
          </w:p>
        </w:tc>
      </w:tr>
    </w:tbl>
    <w:p>
      <w:pPr>
        <w:spacing w:after="220"/>
      </w:pPr>
    </w:p>
    <w:p>
      <w:pPr>
        <w:pStyle w:val="3"/>
        <w:spacing w:before="220" w:after="120"/>
      </w:pPr>
      <w:r>
        <w:rPr>
          <w:rFonts w:ascii="Times New Roman" w:hAnsi="Times New Roman" w:eastAsia="Times New Roman" w:cs="Times New Roman"/>
          <w:b/>
          <w:bCs/>
          <w:color w:val="000000"/>
          <w:sz w:val="32"/>
          <w:szCs w:val="32"/>
        </w:rPr>
        <w:t>TS-05 — Administrator Inventory / Role-Based Access Control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Administrator views the full registered asset inventory.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administrator.
2. Send GET /assets.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role=administrator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full list of registered assets returned.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200; full inventory list returned.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 nurse attempts to view the full asset inventory (unauthorized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 nurse.
2. Send GET /assets using the nurse's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role=nurse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403 Forbidden; only administrators may view the full inventory.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403; {"detail": "Role 'nurse' is not permitted to perform this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Case ID</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TC-29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Scenario</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An asset manager attempts to view the full asset inventory (unauthorized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Steps</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1. Login as an asset manager.
2. Send GET /assets using the asset manager's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Test Data</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role=asset_manager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Expected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403 Forbidden; asset managers are not authorized to view the full inventory endpoint.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Actual Result</w:t>
            </w:r>
          </w:p>
        </w:tc>
        <w:tc>
          <w:tcPr>
            <w:tcW w:w="6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32"/>
                <w:szCs w:val="32"/>
              </w:rPr>
              <w:t>HTTP 403; {"detail": "Role 'asset_manager' is not permitted to perform this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90" w:type="dxa"/>
              <w:left w:w="110" w:type="dxa"/>
              <w:bottom w:w="90" w:type="dxa"/>
              <w:right w:w="110" w:type="dxa"/>
            </w:tcMar>
            <w:vAlign w:val="center"/>
          </w:tcPr>
          <w:p>
            <w:r>
              <w:rPr>
                <w:rFonts w:ascii="Times New Roman" w:hAnsi="Times New Roman" w:eastAsia="Times New Roman" w:cs="Times New Roman"/>
                <w:b/>
                <w:bCs/>
                <w:color w:val="000000"/>
                <w:sz w:val="32"/>
                <w:szCs w:val="32"/>
              </w:rPr>
              <w:t>Status</w:t>
            </w:r>
          </w:p>
        </w:tc>
        <w:tc>
          <w:tcPr>
            <w:tcW w:w="6800" w:type="dxa"/>
            <w:tcMar>
              <w:top w:w="90" w:type="dxa"/>
              <w:left w:w="110" w:type="dxa"/>
              <w:bottom w:w="90" w:type="dxa"/>
              <w:right w:w="110" w:type="dxa"/>
            </w:tcMar>
            <w:vAlign w:val="center"/>
          </w:tcPr>
          <w:p>
            <w:r>
              <w:rPr>
                <w:rFonts w:ascii="Times New Roman" w:hAnsi="Times New Roman" w:eastAsia="Times New Roman" w:cs="Times New Roman"/>
                <w:b/>
                <w:bCs/>
                <w:color w:val="2E7D32"/>
                <w:sz w:val="32"/>
                <w:szCs w:val="32"/>
              </w:rPr>
              <w:t>Pass</w:t>
            </w:r>
          </w:p>
        </w:tc>
      </w:tr>
    </w:tbl>
    <w:p>
      <w:pPr>
        <w:spacing w:after="220"/>
      </w:pPr>
    </w:p>
    <w:p>
      <w:pPr>
        <w:pStyle w:val="2"/>
        <w:spacing w:before="300" w:after="160"/>
      </w:pPr>
      <w:r>
        <w:rPr>
          <w:rFonts w:ascii="Times New Roman" w:hAnsi="Times New Roman" w:eastAsia="Times New Roman" w:cs="Times New Roman"/>
          <w:b/>
          <w:bCs/>
          <w:color w:val="000000"/>
          <w:sz w:val="32"/>
          <w:szCs w:val="32"/>
          <w:u w:val="single"/>
        </w:rPr>
        <w:t>5. Defects Identified During Testing</w:t>
      </w:r>
    </w:p>
    <w:p>
      <w:pPr>
        <w:spacing w:after="160" w:line="340" w:lineRule="auto"/>
      </w:pPr>
      <w:r>
        <w:rPr>
          <w:rFonts w:ascii="Times New Roman" w:hAnsi="Times New Roman" w:eastAsia="Times New Roman" w:cs="Times New Roman"/>
          <w:color w:val="000000"/>
          <w:sz w:val="32"/>
          <w:szCs w:val="32"/>
        </w:rPr>
        <w:t>Two genuine data-validation defects were found while executing the boundary and invalid-input test cases above, and two additional observations were noted for behavior that is not incorrect but is worth making a deliberate, documented decision about.</w:t>
      </w:r>
    </w:p>
    <w:p>
      <w:pPr>
        <w:pStyle w:val="3"/>
        <w:spacing w:before="220" w:after="120"/>
      </w:pPr>
      <w:r>
        <w:rPr>
          <w:rFonts w:ascii="Times New Roman" w:hAnsi="Times New Roman" w:eastAsia="Times New Roman" w:cs="Times New Roman"/>
          <w:b/>
          <w:bCs/>
          <w:color w:val="000000"/>
          <w:sz w:val="32"/>
          <w:szCs w:val="32"/>
        </w:rPr>
        <w:t>DEFECT-01 — Empty asset_id accepted on registration</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Found by: </w:t>
      </w:r>
      <w:r>
        <w:rPr>
          <w:rFonts w:ascii="Times New Roman" w:hAnsi="Times New Roman" w:eastAsia="Times New Roman" w:cs="Times New Roman"/>
          <w:color w:val="000000"/>
          <w:sz w:val="32"/>
          <w:szCs w:val="32"/>
        </w:rPr>
        <w:t>TC-10</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Severity: </w:t>
      </w:r>
      <w:r>
        <w:rPr>
          <w:rFonts w:ascii="Times New Roman" w:hAnsi="Times New Roman" w:eastAsia="Times New Roman" w:cs="Times New Roman"/>
          <w:color w:val="000000"/>
          <w:sz w:val="32"/>
          <w:szCs w:val="32"/>
        </w:rPr>
        <w:t>Medium</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Description: </w:t>
      </w:r>
      <w:r>
        <w:rPr>
          <w:rFonts w:ascii="Times New Roman" w:hAnsi="Times New Roman" w:eastAsia="Times New Roman" w:cs="Times New Roman"/>
          <w:color w:val="000000"/>
          <w:sz w:val="32"/>
          <w:szCs w:val="32"/>
        </w:rPr>
        <w:t>POST /assets accepts an empty string as asset_id and returns HTTP 201, creating an asset with no usable identifier. This violates the intent of FR-02, which requires a unique asset ID for tracking.</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Recommendation: </w:t>
      </w:r>
      <w:r>
        <w:rPr>
          <w:rFonts w:ascii="Times New Roman" w:hAnsi="Times New Roman" w:eastAsia="Times New Roman" w:cs="Times New Roman"/>
          <w:color w:val="000000"/>
          <w:sz w:val="32"/>
          <w:szCs w:val="32"/>
        </w:rPr>
        <w:t>Add a minimum-length constraint (e.g. min_length=1, ideally with a sensible minimum such as 3) to the asset_id field in the AssetCreate Pydantic schema so this is rejected with HTTP 422 before it reaches the database layer.</w:t>
      </w:r>
    </w:p>
    <w:p>
      <w:pPr>
        <w:pStyle w:val="3"/>
        <w:spacing w:before="220" w:after="120"/>
      </w:pPr>
      <w:r>
        <w:rPr>
          <w:rFonts w:ascii="Times New Roman" w:hAnsi="Times New Roman" w:eastAsia="Times New Roman" w:cs="Times New Roman"/>
          <w:b/>
          <w:bCs/>
          <w:color w:val="000000"/>
          <w:sz w:val="32"/>
          <w:szCs w:val="32"/>
        </w:rPr>
        <w:t>DEFECT-02 — Empty device_id accepted on tracking-device association</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Found by: </w:t>
      </w:r>
      <w:r>
        <w:rPr>
          <w:rFonts w:ascii="Times New Roman" w:hAnsi="Times New Roman" w:eastAsia="Times New Roman" w:cs="Times New Roman"/>
          <w:color w:val="000000"/>
          <w:sz w:val="32"/>
          <w:szCs w:val="32"/>
        </w:rPr>
        <w:t>TC-19 (with a visible downstream effect in TC-26)</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Severity: </w:t>
      </w:r>
      <w:r>
        <w:rPr>
          <w:rFonts w:ascii="Times New Roman" w:hAnsi="Times New Roman" w:eastAsia="Times New Roman" w:cs="Times New Roman"/>
          <w:color w:val="000000"/>
          <w:sz w:val="32"/>
          <w:szCs w:val="32"/>
        </w:rPr>
        <w:t>Medium</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Description: </w:t>
      </w:r>
      <w:r>
        <w:rPr>
          <w:rFonts w:ascii="Times New Roman" w:hAnsi="Times New Roman" w:eastAsia="Times New Roman" w:cs="Times New Roman"/>
          <w:color w:val="000000"/>
          <w:sz w:val="32"/>
          <w:szCs w:val="32"/>
        </w:rPr>
        <w:t>POST /assets/{asset_id}/tracking-device accepts an empty string as device_id and returns HTTP 200. Because the search endpoint reports "High" confidence whenever a tracking_device record exists at all, this produces a misleading search result showing confidence="High" for an asset with no real tracking-device ID (TC-26).</w:t>
      </w:r>
    </w:p>
    <w:p>
      <w:pPr>
        <w:pStyle w:val="17"/>
        <w:numPr>
          <w:ilvl w:val="0"/>
          <w:numId w:val="1"/>
        </w:numPr>
        <w:spacing w:after="100" w:line="320" w:lineRule="auto"/>
      </w:pPr>
      <w:r>
        <w:rPr>
          <w:rFonts w:ascii="Times New Roman" w:hAnsi="Times New Roman" w:eastAsia="Times New Roman" w:cs="Times New Roman"/>
          <w:b/>
          <w:bCs/>
          <w:color w:val="000000"/>
          <w:sz w:val="32"/>
          <w:szCs w:val="32"/>
        </w:rPr>
        <w:t xml:space="preserve">Recommendation: </w:t>
      </w:r>
      <w:r>
        <w:rPr>
          <w:rFonts w:ascii="Times New Roman" w:hAnsi="Times New Roman" w:eastAsia="Times New Roman" w:cs="Times New Roman"/>
          <w:color w:val="000000"/>
          <w:sz w:val="32"/>
          <w:szCs w:val="32"/>
        </w:rPr>
        <w:t>Apply the same minimum-length constraint to device_id in the TrackingDeviceCreate schema, and consider deriving confidence from whether device_id is non-empty rather than merely whether a tracking_device row exists.</w:t>
      </w:r>
    </w:p>
    <w:p>
      <w:pPr>
        <w:pStyle w:val="3"/>
        <w:spacing w:before="220" w:after="120"/>
      </w:pPr>
      <w:r>
        <w:rPr>
          <w:rFonts w:ascii="Times New Roman" w:hAnsi="Times New Roman" w:eastAsia="Times New Roman" w:cs="Times New Roman"/>
          <w:b/>
          <w:bCs/>
          <w:color w:val="000000"/>
          <w:sz w:val="32"/>
          <w:szCs w:val="32"/>
        </w:rPr>
        <w:t>Observation-01 — No maximum length enforced on asset_id</w:t>
      </w:r>
    </w:p>
    <w:p>
      <w:pPr>
        <w:spacing w:after="160" w:line="340" w:lineRule="auto"/>
      </w:pPr>
      <w:r>
        <w:rPr>
          <w:rFonts w:ascii="Times New Roman" w:hAnsi="Times New Roman" w:eastAsia="Times New Roman" w:cs="Times New Roman"/>
          <w:color w:val="000000"/>
          <w:sz w:val="32"/>
          <w:szCs w:val="32"/>
        </w:rPr>
        <w:t>TC-12 shows a 300-character asset_id is accepted with no upper bound. This is not a functional defect against any stated requirement, but the team should decide on and document a maximum length rather than leaving it unbounded, since it currently depends only on the underlying SQLite column having no length limit.</w:t>
      </w:r>
    </w:p>
    <w:p>
      <w:pPr>
        <w:pStyle w:val="3"/>
        <w:spacing w:before="220" w:after="120"/>
      </w:pPr>
      <w:r>
        <w:rPr>
          <w:rFonts w:ascii="Times New Roman" w:hAnsi="Times New Roman" w:eastAsia="Times New Roman" w:cs="Times New Roman"/>
          <w:b/>
          <w:bCs/>
          <w:color w:val="000000"/>
          <w:sz w:val="32"/>
          <w:szCs w:val="32"/>
        </w:rPr>
        <w:t>Observation-02 — Empty search query returns the entire inventory</w:t>
      </w:r>
    </w:p>
    <w:p>
      <w:pPr>
        <w:spacing w:after="160" w:line="340" w:lineRule="auto"/>
      </w:pPr>
      <w:r>
        <w:rPr>
          <w:rFonts w:ascii="Times New Roman" w:hAnsi="Times New Roman" w:eastAsia="Times New Roman" w:cs="Times New Roman"/>
          <w:color w:val="000000"/>
          <w:sz w:val="32"/>
          <w:szCs w:val="32"/>
        </w:rPr>
        <w:t>TC-25 shows that an empty q parameter matches every asset, since it is passed through to a SQL LIKE '%%' pattern. This is reasonable, expected behavior, but should be confirmed as intentional (rather than incidental) since it affects what a nurse sees if the search box is submitted empty.</w:t>
      </w:r>
    </w:p>
    <w:p>
      <w:pPr>
        <w:pStyle w:val="2"/>
        <w:spacing w:before="300" w:after="160"/>
      </w:pPr>
      <w:r>
        <w:rPr>
          <w:rFonts w:ascii="Times New Roman" w:hAnsi="Times New Roman" w:eastAsia="Times New Roman" w:cs="Times New Roman"/>
          <w:b/>
          <w:bCs/>
          <w:color w:val="000000"/>
          <w:sz w:val="32"/>
          <w:szCs w:val="32"/>
          <w:u w:val="single"/>
        </w:rPr>
        <w:t>6. Requirement Traceability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900"/>
        <w:gridCol w:w="27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Requirement</w:t>
            </w:r>
          </w:p>
        </w:tc>
        <w:tc>
          <w:tcPr>
            <w:tcW w:w="19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Scenario</w:t>
            </w:r>
          </w:p>
        </w:tc>
        <w:tc>
          <w:tcPr>
            <w:tcW w:w="27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Test Cases</w:t>
            </w:r>
          </w:p>
        </w:tc>
        <w:tc>
          <w:tcPr>
            <w:tcW w:w="16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19"/>
                <w:szCs w:val="19"/>
              </w:rPr>
              <w:t>Coverage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FR-01 — Login</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TS-01</w:t>
            </w:r>
          </w:p>
        </w:tc>
        <w:tc>
          <w:tcPr>
            <w:tcW w:w="2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TC-01 to TC-07</w:t>
            </w:r>
          </w:p>
        </w:tc>
        <w:tc>
          <w:tcPr>
            <w:tcW w:w="16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FR-02 — Asset registration</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TS-02</w:t>
            </w:r>
          </w:p>
        </w:tc>
        <w:tc>
          <w:tcPr>
            <w:tcW w:w="2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TC-08 to TC-15</w:t>
            </w:r>
          </w:p>
        </w:tc>
        <w:tc>
          <w:tcPr>
            <w:tcW w:w="16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Full (2 defects found)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FR-03 — Tracking-device association</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TS-03</w:t>
            </w:r>
          </w:p>
        </w:tc>
        <w:tc>
          <w:tcPr>
            <w:tcW w:w="2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TC-16 to TC-20</w:t>
            </w:r>
          </w:p>
        </w:tc>
        <w:tc>
          <w:tcPr>
            <w:tcW w:w="16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Full (1 defect found)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FR-06 — Asset search</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TS-04</w:t>
            </w:r>
          </w:p>
        </w:tc>
        <w:tc>
          <w:tcPr>
            <w:tcW w:w="2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TC-21 to TC-26</w:t>
            </w:r>
          </w:p>
        </w:tc>
        <w:tc>
          <w:tcPr>
            <w:tcW w:w="16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FR-12 — Role-based access</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TS-01, TS-02, TS-05</w:t>
            </w:r>
          </w:p>
        </w:tc>
        <w:tc>
          <w:tcPr>
            <w:tcW w:w="2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TC-06, TC-07, TC-14, TC-15, TC-28, TC-29</w:t>
            </w:r>
          </w:p>
        </w:tc>
        <w:tc>
          <w:tcPr>
            <w:tcW w:w="16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FR-04/05, FR-07–11 — Sprint 2+ scope</w:t>
            </w:r>
          </w:p>
        </w:tc>
        <w:tc>
          <w:tcPr>
            <w:tcW w:w="19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Not applicable to this build</w:t>
            </w:r>
          </w:p>
        </w:tc>
        <w:tc>
          <w:tcPr>
            <w:tcW w:w="27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None (out of scope)</w:t>
            </w:r>
          </w:p>
        </w:tc>
        <w:tc>
          <w:tcPr>
            <w:tcW w:w="16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19"/>
                <w:szCs w:val="19"/>
              </w:rPr>
              <w:t>Not yet testable</w:t>
            </w:r>
          </w:p>
        </w:tc>
      </w:tr>
    </w:tbl>
    <w:p>
      <w:pPr>
        <w:pStyle w:val="2"/>
        <w:spacing w:before="300" w:after="160"/>
        <w:rPr>
          <w:rFonts w:ascii="Times New Roman" w:hAnsi="Times New Roman" w:eastAsia="Times New Roman" w:cs="Times New Roman"/>
          <w:b/>
          <w:bCs/>
          <w:color w:val="000000"/>
          <w:sz w:val="32"/>
          <w:szCs w:val="32"/>
          <w:u w:val="single"/>
        </w:rPr>
      </w:pPr>
    </w:p>
    <w:p>
      <w:pPr>
        <w:pStyle w:val="2"/>
        <w:spacing w:before="300" w:after="160"/>
        <w:rPr>
          <w:rFonts w:ascii="Times New Roman" w:hAnsi="Times New Roman" w:eastAsia="Times New Roman" w:cs="Times New Roman"/>
          <w:b/>
          <w:bCs/>
          <w:color w:val="000000"/>
          <w:sz w:val="32"/>
          <w:szCs w:val="32"/>
          <w:u w:val="single"/>
        </w:rPr>
      </w:pPr>
    </w:p>
    <w:p>
      <w:pPr>
        <w:pStyle w:val="2"/>
        <w:spacing w:before="300" w:after="160"/>
      </w:pPr>
      <w:r>
        <w:rPr>
          <w:rFonts w:ascii="Times New Roman" w:hAnsi="Times New Roman" w:eastAsia="Times New Roman" w:cs="Times New Roman"/>
          <w:b/>
          <w:bCs/>
          <w:color w:val="000000"/>
          <w:sz w:val="32"/>
          <w:szCs w:val="32"/>
          <w:u w:val="single"/>
        </w:rPr>
        <w:t>7. Test Coverage Summary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2"/>
                <w:szCs w:val="22"/>
              </w:rPr>
              <w:t>Metric</w:t>
            </w:r>
          </w:p>
        </w:tc>
        <w:tc>
          <w:tcPr>
            <w:tcW w:w="4500" w:type="dxa"/>
            <w:shd w:val="clear" w:color="auto" w:fill="1F3864"/>
            <w:tcMar>
              <w:top w:w="90" w:type="dxa"/>
              <w:left w:w="110" w:type="dxa"/>
              <w:bottom w:w="90" w:type="dxa"/>
              <w:right w:w="110" w:type="dxa"/>
            </w:tcMar>
            <w:vAlign w:val="center"/>
          </w:tcPr>
          <w:p>
            <w:r>
              <w:rPr>
                <w:rFonts w:ascii="Times New Roman" w:hAnsi="Times New Roman" w:eastAsia="Times New Roman" w:cs="Times New Roman"/>
                <w:b/>
                <w:bCs/>
                <w:color w:val="FFFFFF"/>
                <w:sz w:val="22"/>
                <w:szCs w:val="22"/>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Total test cases designed and executed</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Passed</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Passed with observation (not a failure, but flagged for a decision)</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2 (TC-12, TC-25)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Passed but exposing a defect's downstream effect</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1 (TC-26, tied to DEFECT-02)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Failed (defects confirmed)</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2 (TC-10, TC-19)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Functional requirements covered</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FR-01, FR-02, FR-03, FR-06, FR-12 (5 of 5 implemented Sprint 1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Test design techniques applied</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Equivalence Partitioning, Boundary Value Analysis, Decision Table; State Transition Testing planned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Defects raised</w:t>
            </w:r>
          </w:p>
        </w:tc>
        <w:tc>
          <w:tcPr>
            <w:tcW w:w="4500" w:type="dxa"/>
            <w:tcMar>
              <w:top w:w="90" w:type="dxa"/>
              <w:left w:w="110" w:type="dxa"/>
              <w:bottom w:w="90" w:type="dxa"/>
              <w:right w:w="110" w:type="dxa"/>
            </w:tcMar>
            <w:vAlign w:val="center"/>
          </w:tcPr>
          <w:p>
            <w:r>
              <w:rPr>
                <w:rFonts w:ascii="Times New Roman" w:hAnsi="Times New Roman" w:eastAsia="Times New Roman" w:cs="Times New Roman"/>
                <w:b w:val="0"/>
                <w:bCs w:val="0"/>
                <w:color w:val="000000"/>
                <w:sz w:val="22"/>
                <w:szCs w:val="22"/>
              </w:rPr>
              <w:t>2 (DEFECT-01, DEFECT-02), both Medium severity, both data-validation gaps</w:t>
            </w:r>
          </w:p>
        </w:tc>
      </w:tr>
    </w:tbl>
    <w:p>
      <w:pPr>
        <w:spacing w:before="200"/>
      </w:pPr>
    </w:p>
    <w:p>
      <w:pPr>
        <w:spacing w:after="160" w:line="340" w:lineRule="auto"/>
      </w:pPr>
      <w:r>
        <w:rPr>
          <w:rFonts w:ascii="Times New Roman" w:hAnsi="Times New Roman" w:eastAsia="Times New Roman" w:cs="Times New Roman"/>
          <w:color w:val="000000"/>
          <w:sz w:val="32"/>
          <w:szCs w:val="32"/>
        </w:rPr>
        <w:t>All five functional requirements implemented in the current Sprint 1 build have full test coverage across normal, boundary, invalid, and exceptional conditions. The two confirmed defects are both missing-validation issues rather than logic errors in the core business rules (duplicate-ID rejection, role-based access control, and search all passed every test case), and both have a concrete, low-risk fix recommended in Section 5. Performance/load testing and the state-transition test cases in Section 3.4 are the two areas flagged for the next test cycle, once the corresponding functionality is implemented.</w:t>
      </w:r>
    </w:p>
    <w:p>
      <w:pPr>
        <w:spacing w:before="100"/>
      </w:pPr>
    </w:p>
    <w:sectPr>
      <w:pgSz w:w="12240" w:h="15840"/>
      <w:pgMar w:top="1300" w:right="1300" w:bottom="13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 w:name="Calibri">
    <w:altName w:val="Trebuchet MS"/>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2FA99"/>
    <w:multiLevelType w:val="singleLevel"/>
    <w:tmpl w:val="EDF2FA99"/>
    <w:lvl w:ilvl="0" w:tentative="0">
      <w:start w:val="1"/>
      <w:numFmt w:val="bullet"/>
      <w:lvlText w:val="•"/>
      <w:lvlJc w:val="left"/>
      <w:pPr>
        <w:ind w:left="45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FFB526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32"/>
      <w:szCs w:val="32"/>
    </w:rPr>
  </w:style>
  <w:style w:type="paragraph" w:styleId="2">
    <w:name w:val="heading 1"/>
    <w:basedOn w:val="1"/>
    <w:next w:val="1"/>
    <w:qFormat/>
    <w:uiPriority w:val="0"/>
    <w:pPr>
      <w:spacing w:before="300" w:after="160"/>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220" w:after="120"/>
    </w:pPr>
    <w:rPr>
      <w:rFonts w:ascii="Times New Roman" w:hAnsi="Times New Roman" w:eastAsia="Times New Roman" w:cs="Times New Roman"/>
      <w:b/>
      <w:bCs/>
      <w:color w:val="000000"/>
      <w:sz w:val="32"/>
      <w:szCs w:val="32"/>
    </w:rPr>
  </w:style>
  <w:style w:type="paragraph" w:styleId="4">
    <w:name w:val="heading 3"/>
    <w:next w:val="1"/>
    <w:qFormat/>
    <w:uiPriority w:val="0"/>
    <w:pPr>
      <w:spacing w:before="180" w:after="100"/>
    </w:pPr>
    <w:rPr>
      <w:rFonts w:ascii="Times New Roman" w:hAnsi="Times New Roman" w:eastAsia="Times New Roman" w:cs="Times New Roman"/>
      <w:b/>
      <w:bCs/>
      <w:i/>
      <w:iCs/>
      <w:color w:val="000000"/>
      <w:sz w:val="32"/>
      <w:szCs w:val="32"/>
    </w:rPr>
  </w:style>
  <w:style w:type="paragraph" w:styleId="5">
    <w:name w:val="heading 4"/>
    <w:next w:val="1"/>
    <w:qFormat/>
    <w:uiPriority w:val="0"/>
    <w:rPr>
      <w:rFonts w:ascii="Times New Roman" w:hAnsi="Times New Roman" w:eastAsia="Times New Roman" w:cs="Times New Roman"/>
      <w:i/>
      <w:iCs/>
      <w:color w:val="2E74B5"/>
      <w:sz w:val="32"/>
      <w:szCs w:val="32"/>
    </w:rPr>
  </w:style>
  <w:style w:type="paragraph" w:styleId="6">
    <w:name w:val="heading 5"/>
    <w:next w:val="1"/>
    <w:qFormat/>
    <w:uiPriority w:val="0"/>
    <w:rPr>
      <w:rFonts w:ascii="Times New Roman" w:hAnsi="Times New Roman" w:eastAsia="Times New Roman" w:cs="Times New Roman"/>
      <w:color w:val="2E74B5"/>
      <w:sz w:val="32"/>
      <w:szCs w:val="32"/>
    </w:rPr>
  </w:style>
  <w:style w:type="paragraph" w:styleId="7">
    <w:name w:val="heading 6"/>
    <w:next w:val="1"/>
    <w:qFormat/>
    <w:uiPriority w:val="0"/>
    <w:rPr>
      <w:rFonts w:ascii="Times New Roman" w:hAnsi="Times New Roman" w:eastAsia="Times New Roman" w:cs="Times New Roman"/>
      <w:color w:val="1F4D78"/>
      <w:sz w:val="32"/>
      <w:szCs w:val="3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pPr>
      <w:spacing w:before="3"/>
    </w:pPr>
    <w:rPr>
      <w:b/>
      <w:bCs/>
      <w:sz w:val="26"/>
      <w:szCs w:val="26"/>
    </w:rPr>
  </w:style>
  <w:style w:type="character" w:styleId="11">
    <w:name w:val="endnote reference"/>
    <w:semiHidden/>
    <w:unhideWhenUsed/>
    <w:uiPriority w:val="99"/>
    <w:rPr>
      <w:vertAlign w:val="superscript"/>
    </w:rPr>
  </w:style>
  <w:style w:type="paragraph" w:styleId="12">
    <w:name w:val="endnote text"/>
    <w:link w:val="19"/>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5">
    <w:name w:val="Hyperlink"/>
    <w:unhideWhenUsed/>
    <w:uiPriority w:val="99"/>
    <w:rPr>
      <w:color w:val="0563C1"/>
      <w:u w:val="single"/>
    </w:rPr>
  </w:style>
  <w:style w:type="paragraph" w:styleId="16">
    <w:name w:val="Title"/>
    <w:qFormat/>
    <w:uiPriority w:val="0"/>
    <w:rPr>
      <w:rFonts w:ascii="Times New Roman" w:hAnsi="Times New Roman" w:eastAsia="Times New Roman" w:cs="Times New Roman"/>
      <w:color w:val="000000"/>
      <w:sz w:val="56"/>
      <w:szCs w:val="56"/>
    </w:rPr>
  </w:style>
  <w:style w:type="paragraph" w:styleId="17">
    <w:name w:val="List Paragraph"/>
    <w:qFormat/>
    <w:uiPriority w:val="0"/>
    <w:rPr>
      <w:rFonts w:ascii="Times New Roman" w:hAnsi="Times New Roman" w:eastAsia="Times New Roman" w:cs="Times New Roman"/>
      <w:color w:val="000000"/>
      <w:sz w:val="32"/>
      <w:szCs w:val="32"/>
    </w:rPr>
  </w:style>
  <w:style w:type="character" w:customStyle="1" w:styleId="18">
    <w:name w:val="Footnote Text Char"/>
    <w:link w:val="14"/>
    <w:semiHidden/>
    <w:unhideWhenUsed/>
    <w:uiPriority w:val="99"/>
    <w:rPr>
      <w:sz w:val="20"/>
      <w:szCs w:val="20"/>
    </w:rPr>
  </w:style>
  <w:style w:type="character" w:customStyle="1" w:styleId="19">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2026-08-19T09:05:56Z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