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300" w:after="60"/>
        <w:jc w:val="center"/>
        <w:rPr>
          <w:color w:val="auto"/>
          <w:sz w:val="30"/>
          <w:szCs w:val="30"/>
        </w:rPr>
      </w:pPr>
      <w:r>
        <w:rPr>
          <w:color w:val="auto"/>
          <w:sz w:val="30"/>
          <w:szCs w:val="30"/>
        </w:rPr>
        <w:drawing>
          <wp:inline distT="0" distB="0" distL="0" distR="0">
            <wp:extent cx="2705735" cy="865505"/>
            <wp:effectExtent l="0" t="0" r="18415" b="10795"/>
            <wp:docPr id="1378027420" name="Picture 1378027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027420" name="Picture 1378027420"/>
                    <pic:cNvPicPr>
                      <a:picLocks noChangeAspect="1" noChangeArrowheads="1"/>
                    </pic:cNvPicPr>
                  </pic:nvPicPr>
                  <pic:blipFill>
                    <a:blip r:embed="rId4"/>
                    <a:srcRect/>
                    <a:stretch>
                      <a:fillRect/>
                    </a:stretch>
                  </pic:blipFill>
                  <pic:spPr>
                    <a:xfrm>
                      <a:off x="0" y="0"/>
                      <a:ext cx="2705735" cy="865505"/>
                    </a:xfrm>
                    <a:prstGeom prst="rect">
                      <a:avLst/>
                    </a:prstGeom>
                  </pic:spPr>
                </pic:pic>
              </a:graphicData>
            </a:graphic>
          </wp:inline>
        </w:drawing>
      </w:r>
      <w:r>
        <w:rPr>
          <w:color w:val="auto"/>
          <w:sz w:val="30"/>
          <w:szCs w:val="30"/>
        </w:rPr>
        <w:drawing>
          <wp:inline distT="0" distB="0" distL="0" distR="0">
            <wp:extent cx="2873375" cy="919480"/>
            <wp:effectExtent l="0" t="0" r="3175" b="139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5"/>
                    <a:srcRect/>
                    <a:stretch>
                      <a:fillRect/>
                    </a:stretch>
                  </pic:blipFill>
                  <pic:spPr>
                    <a:xfrm>
                      <a:off x="0" y="0"/>
                      <a:ext cx="2873375" cy="919480"/>
                    </a:xfrm>
                    <a:prstGeom prst="rect">
                      <a:avLst/>
                    </a:prstGeom>
                  </pic:spPr>
                </pic:pic>
              </a:graphicData>
            </a:graphic>
          </wp:inline>
        </w:drawing>
      </w:r>
    </w:p>
    <w:p>
      <w:pPr>
        <w:spacing w:before="300" w:after="60"/>
        <w:jc w:val="center"/>
        <w:rPr>
          <w:color w:val="auto"/>
          <w:sz w:val="30"/>
          <w:szCs w:val="30"/>
        </w:rPr>
      </w:pPr>
    </w:p>
    <w:p>
      <w:pPr>
        <w:spacing w:after="60"/>
        <w:jc w:val="center"/>
        <w:rPr>
          <w:rFonts w:hint="default" w:ascii="Times New Roman" w:hAnsi="Times New Roman" w:cs="Times New Roman"/>
          <w:b/>
          <w:bCs/>
          <w:color w:val="000000" w:themeColor="text1"/>
          <w:sz w:val="44"/>
          <w:szCs w:val="44"/>
          <w14:textFill>
            <w14:solidFill>
              <w14:schemeClr w14:val="tx1"/>
            </w14:solidFill>
          </w14:textFill>
        </w:rPr>
      </w:pPr>
      <w:r>
        <w:rPr>
          <w:rFonts w:hint="default" w:ascii="Times New Roman" w:hAnsi="Times New Roman" w:cs="Times New Roman"/>
          <w:b/>
          <w:bCs/>
          <w:color w:val="000000" w:themeColor="text1"/>
          <w:sz w:val="44"/>
          <w:szCs w:val="44"/>
          <w14:textFill>
            <w14:solidFill>
              <w14:schemeClr w14:val="tx1"/>
            </w14:solidFill>
          </w14:textFill>
        </w:rPr>
        <w:t>CO3 ASSESSMENT TOOL 1 – GIT &amp; DOCKER TECHNICAL ASSIGNMENT</w:t>
      </w:r>
    </w:p>
    <w:p>
      <w:pPr>
        <w:spacing w:after="60"/>
        <w:jc w:val="center"/>
        <w:rPr>
          <w:rFonts w:hint="default" w:ascii="Times New Roman" w:hAnsi="Times New Roman" w:cs="Times New Roman"/>
          <w:b/>
          <w:bCs/>
          <w:color w:val="000000" w:themeColor="text1"/>
          <w:sz w:val="44"/>
          <w:szCs w:val="44"/>
          <w14:textFill>
            <w14:solidFill>
              <w14:schemeClr w14:val="tx1"/>
            </w14:solidFill>
          </w14:textFill>
        </w:rPr>
      </w:pPr>
    </w:p>
    <w:p>
      <w:pPr>
        <w:spacing w:before="300" w:after="40"/>
        <w:jc w:val="center"/>
        <w:rPr>
          <w:rFonts w:hint="default" w:ascii="Times New Roman" w:hAnsi="Times New Roman" w:cs="Times New Roman"/>
          <w:b/>
          <w:bCs/>
          <w:color w:val="auto"/>
          <w:sz w:val="40"/>
          <w:szCs w:val="40"/>
          <w:lang w:val="en-US"/>
        </w:rPr>
      </w:pPr>
      <w:r>
        <w:rPr>
          <w:rFonts w:hint="default" w:ascii="Times New Roman" w:hAnsi="Times New Roman" w:cs="Times New Roman"/>
          <w:b/>
          <w:bCs/>
          <w:color w:val="auto"/>
          <w:sz w:val="40"/>
          <w:szCs w:val="40"/>
        </w:rPr>
        <w:t>CSA10</w:t>
      </w:r>
      <w:r>
        <w:rPr>
          <w:rFonts w:hint="default" w:ascii="Times New Roman" w:hAnsi="Times New Roman" w:cs="Times New Roman"/>
          <w:b/>
          <w:bCs/>
          <w:color w:val="auto"/>
          <w:sz w:val="40"/>
          <w:szCs w:val="40"/>
          <w:lang w:val="en-US"/>
        </w:rPr>
        <w:t>12</w:t>
      </w:r>
    </w:p>
    <w:p>
      <w:pPr>
        <w:spacing w:after="300"/>
        <w:jc w:val="center"/>
        <w:rPr>
          <w:rFonts w:hint="default" w:ascii="Times New Roman" w:hAnsi="Times New Roman" w:cs="Times New Roman"/>
          <w:b/>
          <w:bCs/>
          <w:color w:val="auto"/>
          <w:sz w:val="40"/>
          <w:szCs w:val="40"/>
        </w:rPr>
      </w:pPr>
      <w:r>
        <w:rPr>
          <w:rFonts w:hint="default" w:ascii="Times New Roman" w:hAnsi="Times New Roman" w:cs="Times New Roman"/>
          <w:b/>
          <w:bCs/>
          <w:color w:val="auto"/>
          <w:sz w:val="40"/>
          <w:szCs w:val="40"/>
        </w:rPr>
        <w:t>SOFTWARE ENGINEERING</w:t>
      </w:r>
    </w:p>
    <w:p>
      <w:pPr>
        <w:spacing w:after="60"/>
        <w:jc w:val="center"/>
        <w:rPr>
          <w:rFonts w:hint="default" w:ascii="Times New Roman" w:hAnsi="Times New Roman" w:cs="Times New Roman"/>
          <w:b/>
          <w:bCs/>
          <w:color w:val="000000" w:themeColor="text1"/>
          <w:sz w:val="44"/>
          <w:szCs w:val="44"/>
          <w14:textFill>
            <w14:solidFill>
              <w14:schemeClr w14:val="tx1"/>
            </w14:solidFill>
          </w14:textFill>
        </w:rPr>
      </w:pPr>
    </w:p>
    <w:p>
      <w:pPr>
        <w:spacing w:before="200" w:after="500"/>
        <w:jc w:val="center"/>
        <w:rPr>
          <w:rFonts w:hint="default" w:ascii="Times New Roman" w:hAnsi="Times New Roman" w:cs="Times New Roman"/>
          <w:i/>
          <w:iCs/>
          <w:color w:val="333333"/>
          <w:sz w:val="36"/>
          <w:szCs w:val="36"/>
        </w:rPr>
      </w:pPr>
      <w:r>
        <w:rPr>
          <w:rFonts w:hint="default" w:ascii="Times New Roman" w:hAnsi="Times New Roman" w:cs="Times New Roman"/>
          <w:i/>
          <w:iCs/>
          <w:color w:val="333333"/>
          <w:sz w:val="36"/>
          <w:szCs w:val="36"/>
        </w:rPr>
        <w:t>Project: SmartCare Assets — Intelligent Hospital Asset Tracking
and Equipment Management Platform</w:t>
      </w:r>
    </w:p>
    <w:p>
      <w:pPr>
        <w:spacing w:before="200" w:after="500"/>
        <w:jc w:val="center"/>
        <w:rPr>
          <w:rFonts w:hint="default" w:ascii="Times New Roman" w:hAnsi="Times New Roman" w:cs="Times New Roman"/>
          <w:i/>
          <w:iCs/>
          <w:color w:val="333333"/>
          <w:sz w:val="36"/>
          <w:szCs w:val="36"/>
        </w:rPr>
      </w:pP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9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600" w:type="dxa"/>
            <w:shd w:val="clear" w:color="auto" w:fill="1F3864"/>
            <w:tcMar>
              <w:top w:w="80" w:type="dxa"/>
              <w:left w:w="100" w:type="dxa"/>
              <w:bottom w:w="80" w:type="dxa"/>
              <w:right w:w="100" w:type="dxa"/>
            </w:tcMar>
          </w:tcPr>
          <w:p>
            <w:pPr>
              <w:rPr>
                <w:rFonts w:hint="default" w:ascii="Times New Roman" w:hAnsi="Times New Roman" w:cs="Times New Roman"/>
                <w:sz w:val="28"/>
                <w:szCs w:val="28"/>
              </w:rPr>
            </w:pPr>
            <w:r>
              <w:rPr>
                <w:rFonts w:hint="default" w:ascii="Times New Roman" w:hAnsi="Times New Roman" w:cs="Times New Roman"/>
                <w:b/>
                <w:bCs/>
                <w:color w:val="FFFFFF"/>
                <w:sz w:val="28"/>
                <w:szCs w:val="28"/>
              </w:rPr>
              <w:t>Field</w:t>
            </w:r>
          </w:p>
        </w:tc>
        <w:tc>
          <w:tcPr>
            <w:tcW w:w="6900" w:type="dxa"/>
            <w:shd w:val="clear" w:color="auto" w:fill="1F3864"/>
            <w:tcMar>
              <w:top w:w="80" w:type="dxa"/>
              <w:left w:w="100" w:type="dxa"/>
              <w:bottom w:w="80" w:type="dxa"/>
              <w:right w:w="100" w:type="dxa"/>
            </w:tcMar>
          </w:tcPr>
          <w:p>
            <w:pPr>
              <w:rPr>
                <w:rFonts w:hint="default" w:ascii="Times New Roman" w:hAnsi="Times New Roman" w:cs="Times New Roman"/>
                <w:sz w:val="28"/>
                <w:szCs w:val="28"/>
              </w:rPr>
            </w:pPr>
            <w:r>
              <w:rPr>
                <w:rFonts w:hint="default" w:ascii="Times New Roman" w:hAnsi="Times New Roman" w:cs="Times New Roman"/>
                <w:b/>
                <w:bCs/>
                <w:color w:val="FFFFFF"/>
                <w:sz w:val="28"/>
                <w:szCs w:val="28"/>
              </w:rPr>
              <w:t>Details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FFFFF"/>
            <w:tcMar>
              <w:top w:w="80" w:type="dxa"/>
              <w:left w:w="100" w:type="dxa"/>
              <w:bottom w:w="80" w:type="dxa"/>
              <w:right w:w="100" w:type="dxa"/>
            </w:tcMar>
          </w:tcPr>
          <w:p>
            <w:pPr>
              <w:rPr>
                <w:rFonts w:hint="default" w:ascii="Times New Roman" w:hAnsi="Times New Roman" w:cs="Times New Roman"/>
                <w:sz w:val="28"/>
                <w:szCs w:val="28"/>
              </w:rPr>
            </w:pPr>
            <w:r>
              <w:rPr>
                <w:rFonts w:hint="default" w:ascii="Times New Roman" w:hAnsi="Times New Roman" w:cs="Times New Roman"/>
                <w:sz w:val="28"/>
                <w:szCs w:val="28"/>
              </w:rPr>
              <w:t>Course Code</w:t>
            </w:r>
          </w:p>
        </w:tc>
        <w:tc>
          <w:tcPr>
            <w:tcW w:w="6900" w:type="dxa"/>
            <w:shd w:val="clear" w:color="auto" w:fill="FFFFFF"/>
            <w:tcMar>
              <w:top w:w="80" w:type="dxa"/>
              <w:left w:w="100" w:type="dxa"/>
              <w:bottom w:w="80" w:type="dxa"/>
              <w:right w:w="100" w:type="dxa"/>
            </w:tcMar>
          </w:tcPr>
          <w:p>
            <w:pPr>
              <w:rPr>
                <w:rFonts w:hint="default" w:ascii="Times New Roman" w:hAnsi="Times New Roman" w:cs="Times New Roman"/>
                <w:sz w:val="28"/>
                <w:szCs w:val="28"/>
                <w:lang w:val="en-US"/>
              </w:rPr>
            </w:pPr>
            <w:r>
              <w:rPr>
                <w:rFonts w:hint="default" w:ascii="Times New Roman" w:hAnsi="Times New Roman" w:cs="Times New Roman"/>
                <w:sz w:val="28"/>
                <w:szCs w:val="28"/>
              </w:rPr>
              <w:t>CSA10</w:t>
            </w:r>
            <w:r>
              <w:rPr>
                <w:rFonts w:hint="default" w:ascii="Times New Roman" w:hAnsi="Times New Roman" w:cs="Times New Roman"/>
                <w:sz w:val="28"/>
                <w:szCs w:val="28"/>
                <w:lang w:val="en-US"/>
              </w:rP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5FA"/>
            <w:tcMar>
              <w:top w:w="80" w:type="dxa"/>
              <w:left w:w="100" w:type="dxa"/>
              <w:bottom w:w="80" w:type="dxa"/>
              <w:right w:w="100" w:type="dxa"/>
            </w:tcMar>
          </w:tcPr>
          <w:p>
            <w:pPr>
              <w:rPr>
                <w:rFonts w:hint="default" w:ascii="Times New Roman" w:hAnsi="Times New Roman" w:cs="Times New Roman"/>
                <w:sz w:val="28"/>
                <w:szCs w:val="28"/>
              </w:rPr>
            </w:pPr>
            <w:r>
              <w:rPr>
                <w:rFonts w:hint="default" w:ascii="Times New Roman" w:hAnsi="Times New Roman" w:cs="Times New Roman"/>
                <w:sz w:val="28"/>
                <w:szCs w:val="28"/>
              </w:rPr>
              <w:t>Course Title</w:t>
            </w:r>
          </w:p>
        </w:tc>
        <w:tc>
          <w:tcPr>
            <w:tcW w:w="6900" w:type="dxa"/>
            <w:shd w:val="clear" w:color="auto" w:fill="F2F5FA"/>
            <w:tcMar>
              <w:top w:w="80" w:type="dxa"/>
              <w:left w:w="100" w:type="dxa"/>
              <w:bottom w:w="80" w:type="dxa"/>
              <w:right w:w="100" w:type="dxa"/>
            </w:tcMar>
          </w:tcPr>
          <w:p>
            <w:pPr>
              <w:rPr>
                <w:rFonts w:hint="default" w:ascii="Times New Roman" w:hAnsi="Times New Roman" w:cs="Times New Roman"/>
                <w:sz w:val="28"/>
                <w:szCs w:val="28"/>
              </w:rPr>
            </w:pPr>
            <w:r>
              <w:rPr>
                <w:rFonts w:hint="default" w:ascii="Times New Roman" w:hAnsi="Times New Roman" w:cs="Times New Roman"/>
                <w:sz w:val="28"/>
                <w:szCs w:val="28"/>
              </w:rPr>
              <w:t>Software Engineering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FFFFF"/>
            <w:tcMar>
              <w:top w:w="80" w:type="dxa"/>
              <w:left w:w="100" w:type="dxa"/>
              <w:bottom w:w="80" w:type="dxa"/>
              <w:right w:w="100" w:type="dxa"/>
            </w:tcMar>
          </w:tcPr>
          <w:p>
            <w:pPr>
              <w:rPr>
                <w:rFonts w:hint="default" w:ascii="Times New Roman" w:hAnsi="Times New Roman" w:cs="Times New Roman"/>
                <w:sz w:val="28"/>
                <w:szCs w:val="28"/>
              </w:rPr>
            </w:pPr>
            <w:r>
              <w:rPr>
                <w:rFonts w:hint="default" w:ascii="Times New Roman" w:hAnsi="Times New Roman" w:cs="Times New Roman"/>
                <w:sz w:val="28"/>
                <w:szCs w:val="28"/>
              </w:rPr>
              <w:t>CO Assessed</w:t>
            </w:r>
          </w:p>
        </w:tc>
        <w:tc>
          <w:tcPr>
            <w:tcW w:w="6900" w:type="dxa"/>
            <w:shd w:val="clear" w:color="auto" w:fill="FFFFFF"/>
            <w:tcMar>
              <w:top w:w="80" w:type="dxa"/>
              <w:left w:w="100" w:type="dxa"/>
              <w:bottom w:w="80" w:type="dxa"/>
              <w:right w:w="100" w:type="dxa"/>
            </w:tcMar>
          </w:tcPr>
          <w:p>
            <w:pPr>
              <w:rPr>
                <w:rFonts w:hint="default" w:ascii="Times New Roman" w:hAnsi="Times New Roman" w:cs="Times New Roman"/>
                <w:sz w:val="28"/>
                <w:szCs w:val="28"/>
              </w:rPr>
            </w:pPr>
            <w:r>
              <w:rPr>
                <w:rFonts w:hint="default" w:ascii="Times New Roman" w:hAnsi="Times New Roman" w:cs="Times New Roman"/>
                <w:sz w:val="28"/>
                <w:szCs w:val="28"/>
              </w:rPr>
              <w:t>CO3 – Build full-stack applications with an emphasis on containerization, version control, and collaborative development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600" w:type="dxa"/>
            <w:shd w:val="clear" w:color="auto" w:fill="F2F5FA"/>
            <w:tcMar>
              <w:top w:w="80" w:type="dxa"/>
              <w:left w:w="100" w:type="dxa"/>
              <w:bottom w:w="80" w:type="dxa"/>
              <w:right w:w="100" w:type="dxa"/>
            </w:tcMar>
          </w:tcPr>
          <w:p>
            <w:pPr>
              <w:rPr>
                <w:rFonts w:hint="default" w:ascii="Times New Roman" w:hAnsi="Times New Roman" w:cs="Times New Roman"/>
                <w:sz w:val="28"/>
                <w:szCs w:val="28"/>
              </w:rPr>
            </w:pPr>
            <w:r>
              <w:rPr>
                <w:rFonts w:hint="default" w:ascii="Times New Roman" w:hAnsi="Times New Roman" w:cs="Times New Roman"/>
                <w:sz w:val="28"/>
                <w:szCs w:val="28"/>
              </w:rPr>
              <w:t>Assessment</w:t>
            </w:r>
          </w:p>
        </w:tc>
        <w:tc>
          <w:tcPr>
            <w:tcW w:w="6900" w:type="dxa"/>
            <w:shd w:val="clear" w:color="auto" w:fill="F2F5FA"/>
            <w:tcMar>
              <w:top w:w="80" w:type="dxa"/>
              <w:left w:w="100" w:type="dxa"/>
              <w:bottom w:w="80" w:type="dxa"/>
              <w:right w:w="100" w:type="dxa"/>
            </w:tcMar>
          </w:tcPr>
          <w:p>
            <w:pPr>
              <w:rPr>
                <w:rFonts w:hint="default" w:ascii="Times New Roman" w:hAnsi="Times New Roman" w:cs="Times New Roman"/>
                <w:sz w:val="28"/>
                <w:szCs w:val="28"/>
              </w:rPr>
            </w:pPr>
            <w:r>
              <w:rPr>
                <w:rFonts w:hint="default" w:ascii="Times New Roman" w:hAnsi="Times New Roman" w:cs="Times New Roman"/>
                <w:sz w:val="28"/>
                <w:szCs w:val="28"/>
              </w:rPr>
              <w:t>Assessment Tool 1 – Git &amp; Docker Technical Assignment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FFFFF"/>
            <w:tcMar>
              <w:top w:w="80" w:type="dxa"/>
              <w:left w:w="100" w:type="dxa"/>
              <w:bottom w:w="80" w:type="dxa"/>
              <w:right w:w="100" w:type="dxa"/>
            </w:tcMar>
          </w:tcPr>
          <w:p>
            <w:pPr>
              <w:rPr>
                <w:rFonts w:hint="default" w:ascii="Times New Roman" w:hAnsi="Times New Roman" w:cs="Times New Roman"/>
                <w:sz w:val="28"/>
                <w:szCs w:val="28"/>
              </w:rPr>
            </w:pPr>
            <w:r>
              <w:rPr>
                <w:rFonts w:hint="default" w:ascii="Times New Roman" w:hAnsi="Times New Roman" w:cs="Times New Roman"/>
                <w:sz w:val="28"/>
                <w:szCs w:val="28"/>
              </w:rPr>
              <w:t>Student Name</w:t>
            </w:r>
          </w:p>
        </w:tc>
        <w:tc>
          <w:tcPr>
            <w:tcW w:w="6900" w:type="dxa"/>
            <w:shd w:val="clear" w:color="auto" w:fill="FFFFFF"/>
            <w:tcMar>
              <w:top w:w="80" w:type="dxa"/>
              <w:left w:w="100" w:type="dxa"/>
              <w:bottom w:w="80" w:type="dxa"/>
              <w:right w:w="100" w:type="dxa"/>
            </w:tcMar>
          </w:tcPr>
          <w:p>
            <w:pPr>
              <w:rPr>
                <w:rFonts w:hint="default" w:ascii="Times New Roman" w:hAnsi="Times New Roman" w:cs="Times New Roman"/>
                <w:sz w:val="28"/>
                <w:szCs w:val="28"/>
              </w:rPr>
            </w:pPr>
            <w:r>
              <w:rPr>
                <w:rFonts w:hint="default" w:ascii="Times New Roman" w:hAnsi="Times New Roman" w:cs="Times New Roman"/>
                <w:sz w:val="28"/>
                <w:szCs w:val="28"/>
              </w:rPr>
              <w:t>Ashwin 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5FA"/>
            <w:tcMar>
              <w:top w:w="80" w:type="dxa"/>
              <w:left w:w="100" w:type="dxa"/>
              <w:bottom w:w="80" w:type="dxa"/>
              <w:right w:w="100" w:type="dxa"/>
            </w:tcMar>
          </w:tcPr>
          <w:p>
            <w:pPr>
              <w:rPr>
                <w:rFonts w:hint="default" w:ascii="Times New Roman" w:hAnsi="Times New Roman" w:cs="Times New Roman"/>
                <w:sz w:val="28"/>
                <w:szCs w:val="28"/>
              </w:rPr>
            </w:pPr>
            <w:r>
              <w:rPr>
                <w:rFonts w:hint="default" w:ascii="Times New Roman" w:hAnsi="Times New Roman" w:cs="Times New Roman"/>
                <w:sz w:val="28"/>
                <w:szCs w:val="28"/>
              </w:rPr>
              <w:t>Register No.</w:t>
            </w:r>
          </w:p>
        </w:tc>
        <w:tc>
          <w:tcPr>
            <w:tcW w:w="6900" w:type="dxa"/>
            <w:shd w:val="clear" w:color="auto" w:fill="F2F5FA"/>
            <w:tcMar>
              <w:top w:w="80" w:type="dxa"/>
              <w:left w:w="100" w:type="dxa"/>
              <w:bottom w:w="80" w:type="dxa"/>
              <w:right w:w="100" w:type="dxa"/>
            </w:tcMar>
          </w:tcPr>
          <w:p>
            <w:pPr>
              <w:rPr>
                <w:rFonts w:hint="default" w:ascii="Times New Roman" w:hAnsi="Times New Roman" w:cs="Times New Roman"/>
                <w:sz w:val="28"/>
                <w:szCs w:val="28"/>
              </w:rPr>
            </w:pPr>
            <w:r>
              <w:rPr>
                <w:rFonts w:hint="default" w:ascii="Times New Roman" w:hAnsi="Times New Roman" w:cs="Times New Roman"/>
                <w:sz w:val="28"/>
                <w:szCs w:val="28"/>
              </w:rPr>
              <w:t>192311410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FFFFF"/>
            <w:tcMar>
              <w:top w:w="80" w:type="dxa"/>
              <w:left w:w="100" w:type="dxa"/>
              <w:bottom w:w="80" w:type="dxa"/>
              <w:right w:w="100" w:type="dxa"/>
            </w:tcMar>
          </w:tcPr>
          <w:p>
            <w:pPr>
              <w:rPr>
                <w:rFonts w:hint="default" w:ascii="Times New Roman" w:hAnsi="Times New Roman" w:cs="Times New Roman"/>
                <w:sz w:val="28"/>
                <w:szCs w:val="28"/>
              </w:rPr>
            </w:pPr>
            <w:r>
              <w:rPr>
                <w:rFonts w:hint="default" w:ascii="Times New Roman" w:hAnsi="Times New Roman" w:cs="Times New Roman"/>
                <w:sz w:val="28"/>
                <w:szCs w:val="28"/>
              </w:rPr>
              <w:t>Date</w:t>
            </w:r>
          </w:p>
        </w:tc>
        <w:tc>
          <w:tcPr>
            <w:tcW w:w="6900" w:type="dxa"/>
            <w:shd w:val="clear" w:color="auto" w:fill="FFFFFF"/>
            <w:tcMar>
              <w:top w:w="80" w:type="dxa"/>
              <w:left w:w="100" w:type="dxa"/>
              <w:bottom w:w="80" w:type="dxa"/>
              <w:right w:w="100" w:type="dxa"/>
            </w:tcMar>
          </w:tcPr>
          <w:p>
            <w:pPr>
              <w:rPr>
                <w:rFonts w:hint="default" w:ascii="Times New Roman" w:hAnsi="Times New Roman" w:cs="Times New Roman"/>
                <w:sz w:val="28"/>
                <w:szCs w:val="28"/>
              </w:rPr>
            </w:pPr>
            <w:r>
              <w:rPr>
                <w:rFonts w:hint="default" w:ascii="Times New Roman" w:hAnsi="Times New Roman" w:cs="Times New Roman"/>
                <w:sz w:val="28"/>
                <w:szCs w:val="28"/>
              </w:rPr>
              <w:t>August 2026</w:t>
            </w:r>
          </w:p>
        </w:tc>
      </w:tr>
    </w:tbl>
    <w:p>
      <w:pPr>
        <w:rPr>
          <w:rFonts w:hint="default" w:ascii="Times New Roman" w:hAnsi="Times New Roman" w:cs="Times New Roman"/>
          <w:sz w:val="28"/>
          <w:szCs w:val="28"/>
        </w:rPr>
      </w:pPr>
      <w:r>
        <w:rPr>
          <w:rFonts w:hint="default" w:ascii="Times New Roman" w:hAnsi="Times New Roman" w:cs="Times New Roman"/>
          <w:sz w:val="28"/>
          <w:szCs w:val="28"/>
        </w:rPr>
        <w:br w:type="page"/>
      </w:r>
    </w:p>
    <w:p>
      <w:pPr>
        <w:pStyle w:val="2"/>
        <w:spacing w:before="360" w:after="180"/>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1. Problem Analysis</w:t>
      </w:r>
    </w:p>
    <w:p>
      <w:pPr>
        <w:pStyle w:val="3"/>
        <w:spacing w:before="260" w:after="120"/>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1.1 Assigned Problem Statement</w:t>
      </w:r>
    </w:p>
    <w:p>
      <w:pPr>
        <w:spacing w:after="160" w:line="300" w:lineRule="auto"/>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The assigned project, SmartCare Assets, is an intelligent hospital asset-tracking and equipment-management platform. Hospitals manage thousands of shared, mobile medical assets — ventilators, infusion pumps, ECG machines, and portable monitors — that move continuously between departments. Manual registers and periodic audits cannot keep pace with this movement, so clinical staff routinely waste time searching for equipment, and maintenance is discovered reactively rather than predicted in advance. This assignment applies Git version control and Docker containerization practices to the backend service that powers this platform: a FastAPI application exposing asset-registration, battery-telemetry, and search endpoints, backed by a PostgreSQL database.</w:t>
      </w:r>
    </w:p>
    <w:p>
      <w:pPr>
        <w:pStyle w:val="3"/>
        <w:spacing w:before="260" w:after="120"/>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1.2 Project Objectives</w:t>
      </w:r>
    </w:p>
    <w:p>
      <w:pPr>
        <w:pStyle w:val="16"/>
        <w:numPr>
          <w:ilvl w:val="0"/>
          <w:numId w:val="1"/>
        </w:numPr>
        <w:spacing w:after="80" w:line="280" w:lineRule="auto"/>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Track the real-time location and status of tagged hospital equipment.</w:t>
      </w:r>
    </w:p>
    <w:p>
      <w:pPr>
        <w:pStyle w:val="16"/>
        <w:numPr>
          <w:ilvl w:val="0"/>
          <w:numId w:val="1"/>
        </w:numPr>
        <w:spacing w:after="80" w:line="280" w:lineRule="auto"/>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Ingest battery/telemetry data and flag low-battery or maintenance-required conditions automatically.</w:t>
      </w:r>
    </w:p>
    <w:p>
      <w:pPr>
        <w:pStyle w:val="16"/>
        <w:numPr>
          <w:ilvl w:val="0"/>
          <w:numId w:val="1"/>
        </w:numPr>
        <w:spacing w:after="80" w:line="280" w:lineRule="auto"/>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Expose a versioned, testable REST API that other modules (dashboards, alerting) can build on.</w:t>
      </w:r>
    </w:p>
    <w:p>
      <w:pPr>
        <w:pStyle w:val="16"/>
        <w:numPr>
          <w:ilvl w:val="0"/>
          <w:numId w:val="1"/>
        </w:numPr>
        <w:spacing w:after="80" w:line="280" w:lineRule="auto"/>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Package the service so it can be deployed consistently across development, staging, and production using containers.</w:t>
      </w:r>
    </w:p>
    <w:p>
      <w:pPr>
        <w:pStyle w:val="16"/>
        <w:numPr>
          <w:ilvl w:val="0"/>
          <w:numId w:val="1"/>
        </w:numPr>
        <w:spacing w:after="80" w:line="280" w:lineRule="auto"/>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Maintain a clean, auditable version history that supports collaborative development by multiple contributors.</w:t>
      </w:r>
    </w:p>
    <w:p>
      <w:pPr>
        <w:pStyle w:val="3"/>
        <w:spacing w:before="260" w:after="120"/>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1.3 Functional Requirements</w:t>
      </w:r>
    </w:p>
    <w:p>
      <w:pPr>
        <w:pStyle w:val="16"/>
        <w:numPr>
          <w:ilvl w:val="0"/>
          <w:numId w:val="1"/>
        </w:numPr>
        <w:spacing w:after="80" w:line="280" w:lineRule="auto"/>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Register a new asset with a unique asset code and tracking device ID (reject duplicate tracking IDs).</w:t>
      </w:r>
    </w:p>
    <w:p>
      <w:pPr>
        <w:pStyle w:val="16"/>
        <w:numPr>
          <w:ilvl w:val="0"/>
          <w:numId w:val="1"/>
        </w:numPr>
        <w:spacing w:after="80" w:line="280" w:lineRule="auto"/>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Search registered assets by code or equipment type.</w:t>
      </w:r>
    </w:p>
    <w:p>
      <w:pPr>
        <w:pStyle w:val="16"/>
        <w:numPr>
          <w:ilvl w:val="0"/>
          <w:numId w:val="1"/>
        </w:numPr>
        <w:spacing w:after="80" w:line="280" w:lineRule="auto"/>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Ingest telemetry (battery level, location) for a given tracking ID and update the asset's live status.</w:t>
      </w:r>
    </w:p>
    <w:p>
      <w:pPr>
        <w:pStyle w:val="16"/>
        <w:numPr>
          <w:ilvl w:val="0"/>
          <w:numId w:val="1"/>
        </w:numPr>
        <w:spacing w:after="80" w:line="280" w:lineRule="auto"/>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Automatically flag an asset as Maintenance Required when its battery drops below a configured threshold.</w:t>
      </w:r>
    </w:p>
    <w:p>
      <w:pPr>
        <w:pStyle w:val="16"/>
        <w:numPr>
          <w:ilvl w:val="0"/>
          <w:numId w:val="1"/>
        </w:numPr>
        <w:spacing w:after="80" w:line="280" w:lineRule="auto"/>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Expose a health-check endpoint for container orchestration and monitoring.</w:t>
      </w:r>
    </w:p>
    <w:p>
      <w:pPr>
        <w:pStyle w:val="3"/>
        <w:spacing w:before="260" w:after="120"/>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1.4 Expected Outcomes</w:t>
      </w:r>
    </w:p>
    <w:p>
      <w:pPr>
        <w:spacing w:after="160" w:line="300" w:lineRule="auto"/>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A containerized, version-controlled backend service that a hospital IT team could deploy with a single `docker compose up` command, with a Git history that clearly documents how the asset-registration, telemetry, and containerization features were built, merged, released, and hot-fixed — providing both a working artifact and a maintainable development record.</w:t>
      </w:r>
    </w:p>
    <w:p>
      <w:pPr>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2. Project Structure Design</w:t>
      </w:r>
    </w:p>
    <w:p>
      <w:pPr>
        <w:pStyle w:val="3"/>
        <w:spacing w:before="260" w:after="120"/>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2.1 Repository Folder Structure</w:t>
      </w:r>
    </w:p>
    <w:p>
      <w:pPr>
        <w:spacing w:before="120" w:after="60"/>
        <w:jc w:val="center"/>
      </w:pPr>
      <w:r>
        <w:drawing>
          <wp:inline distT="0" distB="0" distL="0" distR="0">
            <wp:extent cx="4414520" cy="4279265"/>
            <wp:effectExtent l="0" t="0" r="508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4414520" cy="4279265"/>
                    </a:xfrm>
                    <a:prstGeom prst="rect">
                      <a:avLst/>
                    </a:prstGeom>
                  </pic:spPr>
                </pic:pic>
              </a:graphicData>
            </a:graphic>
          </wp:inline>
        </w:drawing>
      </w:r>
    </w:p>
    <w:p>
      <w:pPr>
        <w:spacing w:before="80" w:after="240"/>
        <w:jc w:val="center"/>
        <w:rPr>
          <w:rFonts w:hint="default" w:ascii="Times New Roman" w:hAnsi="Times New Roman" w:cs="Times New Roman"/>
          <w:sz w:val="18"/>
          <w:szCs w:val="18"/>
        </w:rPr>
      </w:pPr>
      <w:r>
        <w:rPr>
          <w:rFonts w:hint="default" w:ascii="Times New Roman" w:hAnsi="Times New Roman" w:cs="Times New Roman"/>
          <w:i/>
          <w:iCs/>
          <w:color w:val="555555"/>
          <w:sz w:val="18"/>
          <w:szCs w:val="18"/>
        </w:rPr>
        <w:t>Figure 1: Repository folder structure</w:t>
      </w:r>
    </w:p>
    <w:p>
      <w:pPr>
        <w:pStyle w:val="3"/>
        <w:spacing w:before="260" w:after="120"/>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2.2 Purpose of Major Folders and Files</w:t>
      </w:r>
    </w:p>
    <w:p>
      <w:pPr>
        <w:spacing w:after="120" w:line="280" w:lineRule="auto"/>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 xml:space="preserve">app/: </w:t>
      </w:r>
      <w:r>
        <w:rPr>
          <w:rFonts w:hint="default" w:ascii="Times New Roman" w:hAnsi="Times New Roman" w:cs="Times New Roman"/>
          <w:color w:val="000000" w:themeColor="text1"/>
          <w:sz w:val="32"/>
          <w:szCs w:val="32"/>
          <w14:textFill>
            <w14:solidFill>
              <w14:schemeClr w14:val="tx1"/>
            </w14:solidFill>
          </w14:textFill>
        </w:rPr>
        <w:t>all application source code. Kept as a Python package (contains __init__.py) so it can be imported cleanly by tests and by Uvicorn.</w:t>
      </w:r>
    </w:p>
    <w:p>
      <w:pPr>
        <w:spacing w:after="120" w:line="280" w:lineRule="auto"/>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 xml:space="preserve">app/models/: </w:t>
      </w:r>
      <w:r>
        <w:rPr>
          <w:rFonts w:hint="default" w:ascii="Times New Roman" w:hAnsi="Times New Roman" w:cs="Times New Roman"/>
          <w:color w:val="000000" w:themeColor="text1"/>
          <w:sz w:val="32"/>
          <w:szCs w:val="32"/>
          <w14:textFill>
            <w14:solidFill>
              <w14:schemeClr w14:val="tx1"/>
            </w14:solidFill>
          </w14:textFill>
        </w:rPr>
        <w:t>SQLAlchemy ORM classes (asset.py defines the Asset table and AssetStatus enum). Separated from route logic so the data layer can be tested and reused independently of the API layer.</w:t>
      </w:r>
    </w:p>
    <w:p>
      <w:pPr>
        <w:spacing w:after="120" w:line="280" w:lineRule="auto"/>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 xml:space="preserve">app/routers/: </w:t>
      </w:r>
      <w:r>
        <w:rPr>
          <w:rFonts w:hint="default" w:ascii="Times New Roman" w:hAnsi="Times New Roman" w:cs="Times New Roman"/>
          <w:color w:val="000000" w:themeColor="text1"/>
          <w:sz w:val="32"/>
          <w:szCs w:val="32"/>
          <w14:textFill>
            <w14:solidFill>
              <w14:schemeClr w14:val="tx1"/>
            </w14:solidFill>
          </w14:textFill>
        </w:rPr>
        <w:t>FastAPI routers grouped by feature area — assets.py (registration/search) and telemetry.py (battery ingestion) — rather than one large file, supporting modularity as more features are added.</w:t>
      </w:r>
    </w:p>
    <w:p>
      <w:pPr>
        <w:spacing w:after="120" w:line="280" w:lineRule="auto"/>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 xml:space="preserve">alembic/versions/: </w:t>
      </w:r>
      <w:r>
        <w:rPr>
          <w:rFonts w:hint="default" w:ascii="Times New Roman" w:hAnsi="Times New Roman" w:cs="Times New Roman"/>
          <w:color w:val="000000" w:themeColor="text1"/>
          <w:sz w:val="32"/>
          <w:szCs w:val="32"/>
          <w14:textFill>
            <w14:solidFill>
              <w14:schemeClr w14:val="tx1"/>
            </w14:solidFill>
          </w14:textFill>
        </w:rPr>
        <w:t>reserved for version-controlled database schema migrations, so schema changes are tracked and reproducible across environments rather than applied by hand.</w:t>
      </w:r>
    </w:p>
    <w:p>
      <w:pPr>
        <w:spacing w:after="120" w:line="280" w:lineRule="auto"/>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 xml:space="preserve">tests/: </w:t>
      </w:r>
      <w:r>
        <w:rPr>
          <w:rFonts w:hint="default" w:ascii="Times New Roman" w:hAnsi="Times New Roman" w:cs="Times New Roman"/>
          <w:color w:val="000000" w:themeColor="text1"/>
          <w:sz w:val="32"/>
          <w:szCs w:val="32"/>
          <w14:textFill>
            <w14:solidFill>
              <w14:schemeClr w14:val="tx1"/>
            </w14:solidFill>
          </w14:textFill>
        </w:rPr>
        <w:t>automated Pytest suite, mirroring the app package layout.</w:t>
      </w:r>
    </w:p>
    <w:p>
      <w:pPr>
        <w:spacing w:after="120" w:line="280" w:lineRule="auto"/>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 xml:space="preserve">docs/project_structure.md: </w:t>
      </w:r>
      <w:r>
        <w:rPr>
          <w:rFonts w:hint="default" w:ascii="Times New Roman" w:hAnsi="Times New Roman" w:cs="Times New Roman"/>
          <w:color w:val="000000" w:themeColor="text1"/>
          <w:sz w:val="32"/>
          <w:szCs w:val="32"/>
          <w14:textFill>
            <w14:solidFill>
              <w14:schemeClr w14:val="tx1"/>
            </w14:solidFill>
          </w14:textFill>
        </w:rPr>
        <w:t>living documentation of the repository layout and rationale, kept in-repo so it stays versioned alongside the code it describes.</w:t>
      </w:r>
    </w:p>
    <w:p>
      <w:pPr>
        <w:spacing w:after="120" w:line="280" w:lineRule="auto"/>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 xml:space="preserve">.env.example: </w:t>
      </w:r>
      <w:r>
        <w:rPr>
          <w:rFonts w:hint="default" w:ascii="Times New Roman" w:hAnsi="Times New Roman" w:cs="Times New Roman"/>
          <w:color w:val="000000" w:themeColor="text1"/>
          <w:sz w:val="32"/>
          <w:szCs w:val="32"/>
          <w14:textFill>
            <w14:solidFill>
              <w14:schemeClr w14:val="tx1"/>
            </w14:solidFill>
          </w14:textFill>
        </w:rPr>
        <w:t>documents required environment variables without committing real credentials; the actual .env file is excluded via .gitignore.</w:t>
      </w:r>
    </w:p>
    <w:p>
      <w:pPr>
        <w:spacing w:after="120" w:line="280" w:lineRule="auto"/>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 xml:space="preserve">Dockerfile / docker-compose.yml / .dockerignore: </w:t>
      </w:r>
      <w:r>
        <w:rPr>
          <w:rFonts w:hint="default" w:ascii="Times New Roman" w:hAnsi="Times New Roman" w:cs="Times New Roman"/>
          <w:color w:val="000000" w:themeColor="text1"/>
          <w:sz w:val="32"/>
          <w:szCs w:val="32"/>
          <w14:textFill>
            <w14:solidFill>
              <w14:schemeClr w14:val="tx1"/>
            </w14:solidFill>
          </w14:textFill>
        </w:rPr>
        <w:t>containerization definitions, described in detail in Sections 7–9.</w:t>
      </w:r>
    </w:p>
    <w:p>
      <w:pPr>
        <w:spacing w:after="120" w:line="280" w:lineRule="auto"/>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 xml:space="preserve">requirements.txt: </w:t>
      </w:r>
      <w:r>
        <w:rPr>
          <w:rFonts w:hint="default" w:ascii="Times New Roman" w:hAnsi="Times New Roman" w:cs="Times New Roman"/>
          <w:color w:val="000000" w:themeColor="text1"/>
          <w:sz w:val="32"/>
          <w:szCs w:val="32"/>
          <w14:textFill>
            <w14:solidFill>
              <w14:schemeClr w14:val="tx1"/>
            </w14:solidFill>
          </w14:textFill>
        </w:rPr>
        <w:t>pinned Python dependencies, ensuring the same package versions are installed in every environment (developer machine, CI, container).</w:t>
      </w:r>
    </w:p>
    <w:p>
      <w:pPr>
        <w:rPr>
          <w:rFonts w:hint="default" w:ascii="Times New Roman" w:hAnsi="Times New Roman" w:cs="Times New Roman"/>
          <w:b/>
          <w:bCs/>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3. Git Repository Initialization</w:t>
      </w:r>
    </w:p>
    <w:p>
      <w:pPr>
        <w:pStyle w:val="3"/>
        <w:spacing w:before="260" w:after="120"/>
        <w:rPr>
          <w:rFonts w:hint="default" w:ascii="Times New Roman" w:hAnsi="Times New Roman" w:cs="Times New Roman"/>
          <w:b/>
          <w:bCs/>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3.1 Initialization Steps</w:t>
      </w:r>
    </w:p>
    <w:p>
      <w:pPr>
        <w:spacing w:before="120" w:after="60"/>
        <w:jc w:val="center"/>
      </w:pPr>
      <w:r>
        <w:drawing>
          <wp:inline distT="0" distB="0" distL="0" distR="0">
            <wp:extent cx="4572000" cy="1098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rcRect/>
                    <a:stretch>
                      <a:fillRect/>
                    </a:stretch>
                  </pic:blipFill>
                  <pic:spPr>
                    <a:xfrm>
                      <a:off x="0" y="0"/>
                      <a:ext cx="4572000" cy="1098939"/>
                    </a:xfrm>
                    <a:prstGeom prst="rect">
                      <a:avLst/>
                    </a:prstGeom>
                  </pic:spPr>
                </pic:pic>
              </a:graphicData>
            </a:graphic>
          </wp:inline>
        </w:drawing>
      </w:r>
    </w:p>
    <w:p>
      <w:pPr>
        <w:spacing w:before="80" w:after="240"/>
        <w:jc w:val="center"/>
        <w:rPr>
          <w:rFonts w:hint="default" w:ascii="Times New Roman" w:hAnsi="Times New Roman" w:cs="Times New Roman"/>
          <w:sz w:val="21"/>
          <w:szCs w:val="21"/>
        </w:rPr>
      </w:pPr>
      <w:r>
        <w:rPr>
          <w:rFonts w:hint="default" w:ascii="Times New Roman" w:hAnsi="Times New Roman" w:cs="Times New Roman"/>
          <w:i/>
          <w:iCs/>
          <w:color w:val="555555"/>
          <w:sz w:val="21"/>
          <w:szCs w:val="21"/>
        </w:rPr>
        <w:t>Figure 2: Repository initialization and identity configuration</w:t>
      </w:r>
    </w:p>
    <w:p>
      <w:pPr>
        <w:spacing w:after="160" w:line="300" w:lineRule="auto"/>
        <w:jc w:val="both"/>
        <w:rPr>
          <w:rFonts w:hint="default" w:ascii="Times New Roman" w:hAnsi="Times New Roman" w:cs="Times New Roman"/>
          <w:sz w:val="32"/>
          <w:szCs w:val="32"/>
        </w:rPr>
      </w:pPr>
      <w:r>
        <w:rPr>
          <w:rFonts w:hint="default" w:ascii="Times New Roman" w:hAnsi="Times New Roman" w:cs="Times New Roman"/>
          <w:sz w:val="32"/>
          <w:szCs w:val="32"/>
        </w:rPr>
        <w:t>The repository was initialized with `git init`, and a local user identity was configured with `git config` so that commits carry the correct author information. The first commit added the project scaffold — the FastAPI app, the Asset model, and the registration/search endpoints — establishing a clean baseline before any feature branching began.</w:t>
      </w:r>
    </w:p>
    <w:p>
      <w:pPr>
        <w:spacing w:before="120" w:after="60"/>
        <w:jc w:val="center"/>
        <w:rPr>
          <w:rFonts w:hint="default" w:ascii="Times New Roman" w:hAnsi="Times New Roman" w:cs="Times New Roman"/>
          <w:sz w:val="21"/>
          <w:szCs w:val="21"/>
        </w:rPr>
      </w:pPr>
      <w:r>
        <w:rPr>
          <w:rFonts w:hint="default" w:ascii="Times New Roman" w:hAnsi="Times New Roman" w:cs="Times New Roman"/>
          <w:sz w:val="21"/>
          <w:szCs w:val="21"/>
        </w:rPr>
        <w:drawing>
          <wp:inline distT="0" distB="0" distL="0" distR="0">
            <wp:extent cx="4572000" cy="18916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rcRect/>
                    <a:stretch>
                      <a:fillRect/>
                    </a:stretch>
                  </pic:blipFill>
                  <pic:spPr>
                    <a:xfrm>
                      <a:off x="0" y="0"/>
                      <a:ext cx="4572000" cy="1892041"/>
                    </a:xfrm>
                    <a:prstGeom prst="rect">
                      <a:avLst/>
                    </a:prstGeom>
                  </pic:spPr>
                </pic:pic>
              </a:graphicData>
            </a:graphic>
          </wp:inline>
        </w:drawing>
      </w:r>
    </w:p>
    <w:p>
      <w:pPr>
        <w:spacing w:before="80" w:after="240"/>
        <w:jc w:val="center"/>
        <w:rPr>
          <w:rFonts w:hint="default" w:ascii="Times New Roman" w:hAnsi="Times New Roman" w:cs="Times New Roman"/>
          <w:sz w:val="21"/>
          <w:szCs w:val="21"/>
        </w:rPr>
      </w:pPr>
      <w:r>
        <w:rPr>
          <w:rFonts w:hint="default" w:ascii="Times New Roman" w:hAnsi="Times New Roman" w:cs="Times New Roman"/>
          <w:i/>
          <w:iCs/>
          <w:color w:val="555555"/>
          <w:sz w:val="21"/>
          <w:szCs w:val="21"/>
        </w:rPr>
        <w:t>Figure 3: Initial commit adding the project scaffold</w:t>
      </w:r>
    </w:p>
    <w:p>
      <w:pPr>
        <w:pStyle w:val="3"/>
        <w:spacing w:before="260" w:after="120"/>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3.2 Purpose of Essential Git Files</w:t>
      </w:r>
    </w:p>
    <w:p>
      <w:pPr>
        <w:spacing w:after="120" w:line="280" w:lineRule="auto"/>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 xml:space="preserve">.git/: </w:t>
      </w:r>
      <w:r>
        <w:rPr>
          <w:rFonts w:hint="default" w:ascii="Times New Roman" w:hAnsi="Times New Roman" w:cs="Times New Roman"/>
          <w:color w:val="000000" w:themeColor="text1"/>
          <w:sz w:val="32"/>
          <w:szCs w:val="32"/>
          <w14:textFill>
            <w14:solidFill>
              <w14:schemeClr w14:val="tx1"/>
            </w14:solidFill>
          </w14:textFill>
        </w:rPr>
        <w:t>the hidden directory created by `git init` that stores the entire object database, commit history, branches, and configuration — this is what makes the folder a Git repository.</w:t>
      </w:r>
    </w:p>
    <w:p>
      <w:pPr>
        <w:spacing w:after="120" w:line="280" w:lineRule="auto"/>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 xml:space="preserve">.gitignore: </w:t>
      </w:r>
      <w:r>
        <w:rPr>
          <w:rFonts w:hint="default" w:ascii="Times New Roman" w:hAnsi="Times New Roman" w:cs="Times New Roman"/>
          <w:color w:val="000000" w:themeColor="text1"/>
          <w:sz w:val="32"/>
          <w:szCs w:val="32"/>
          <w14:textFill>
            <w14:solidFill>
              <w14:schemeClr w14:val="tx1"/>
            </w14:solidFill>
          </w14:textFill>
        </w:rPr>
        <w:t>tells Git which files/folders to never track (virtual environments, __pycache__, .env, logs), keeping the repository free of machine-specific or sensitive files.</w:t>
      </w:r>
    </w:p>
    <w:p>
      <w:pPr>
        <w:spacing w:after="120" w:line="280" w:lineRule="auto"/>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 xml:space="preserve">.git/config: </w:t>
      </w:r>
      <w:r>
        <w:rPr>
          <w:rFonts w:hint="default" w:ascii="Times New Roman" w:hAnsi="Times New Roman" w:cs="Times New Roman"/>
          <w:color w:val="000000" w:themeColor="text1"/>
          <w:sz w:val="32"/>
          <w:szCs w:val="32"/>
          <w14:textFill>
            <w14:solidFill>
              <w14:schemeClr w14:val="tx1"/>
            </w14:solidFill>
          </w14:textFill>
        </w:rPr>
        <w:t>stores repository-local settings, including the user.name/user.email identity used for commit authorship shown above.</w:t>
      </w:r>
    </w:p>
    <w:p>
      <w:pPr>
        <w:spacing w:after="120" w:line="280" w:lineRule="auto"/>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4. Git Branching Strategy</w:t>
      </w:r>
    </w:p>
    <w:p>
      <w:pPr>
        <w:pStyle w:val="3"/>
        <w:spacing w:before="260" w:after="120"/>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4.1 Selected Branching Model</w:t>
      </w:r>
    </w:p>
    <w:p>
      <w:pPr>
        <w:spacing w:after="160" w:line="300" w:lineRule="auto"/>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This project uses a Git Flow-inspired branching model with five branch types: Main, Develop, Feature, Release, and Hotfix.</w:t>
      </w:r>
    </w:p>
    <w:p>
      <w:pPr>
        <w:spacing w:before="120" w:after="60"/>
        <w:jc w:val="center"/>
      </w:pPr>
      <w:r>
        <w:drawing>
          <wp:inline distT="0" distB="0" distL="0" distR="0">
            <wp:extent cx="5334000" cy="3460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srcRect/>
                    <a:stretch>
                      <a:fillRect/>
                    </a:stretch>
                  </pic:blipFill>
                  <pic:spPr>
                    <a:xfrm>
                      <a:off x="0" y="0"/>
                      <a:ext cx="5334000" cy="3460890"/>
                    </a:xfrm>
                    <a:prstGeom prst="rect">
                      <a:avLst/>
                    </a:prstGeom>
                  </pic:spPr>
                </pic:pic>
              </a:graphicData>
            </a:graphic>
          </wp:inline>
        </w:drawing>
      </w:r>
    </w:p>
    <w:p>
      <w:pPr>
        <w:spacing w:before="80" w:after="240"/>
        <w:jc w:val="center"/>
        <w:rPr>
          <w:rFonts w:hint="default" w:ascii="Times New Roman" w:hAnsi="Times New Roman" w:cs="Times New Roman"/>
          <w:sz w:val="21"/>
          <w:szCs w:val="21"/>
        </w:rPr>
      </w:pPr>
      <w:r>
        <w:rPr>
          <w:rFonts w:hint="default" w:ascii="Times New Roman" w:hAnsi="Times New Roman" w:cs="Times New Roman"/>
          <w:i/>
          <w:iCs/>
          <w:color w:val="555555"/>
          <w:sz w:val="21"/>
          <w:szCs w:val="21"/>
        </w:rPr>
        <w:t>Figure 4: Branching strategy — Main / Develop / Feature / Release / Hotfix</w:t>
      </w:r>
    </w:p>
    <w:p>
      <w:pPr>
        <w:spacing w:after="120" w:line="280" w:lineRule="auto"/>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 xml:space="preserve">main: </w:t>
      </w:r>
      <w:r>
        <w:rPr>
          <w:rFonts w:hint="default" w:ascii="Times New Roman" w:hAnsi="Times New Roman" w:cs="Times New Roman"/>
          <w:color w:val="000000" w:themeColor="text1"/>
          <w:sz w:val="32"/>
          <w:szCs w:val="32"/>
          <w14:textFill>
            <w14:solidFill>
              <w14:schemeClr w14:val="tx1"/>
            </w14:solidFill>
          </w14:textFill>
        </w:rPr>
        <w:t>always reflects the latest stable, released code (tagged v1.0.0, v1.0.1). Nothing is committed to main directly.</w:t>
      </w:r>
    </w:p>
    <w:p>
      <w:pPr>
        <w:spacing w:after="120" w:line="280" w:lineRule="auto"/>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 xml:space="preserve">develop: </w:t>
      </w:r>
      <w:r>
        <w:rPr>
          <w:rFonts w:hint="default" w:ascii="Times New Roman" w:hAnsi="Times New Roman" w:cs="Times New Roman"/>
          <w:color w:val="000000" w:themeColor="text1"/>
          <w:sz w:val="32"/>
          <w:szCs w:val="32"/>
          <w14:textFill>
            <w14:solidFill>
              <w14:schemeClr w14:val="tx1"/>
            </w14:solidFill>
          </w14:textFill>
        </w:rPr>
        <w:t>the integration branch where completed features are merged and tested together before a release is cut.</w:t>
      </w:r>
    </w:p>
    <w:p>
      <w:pPr>
        <w:spacing w:after="120" w:line="280" w:lineRule="auto"/>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 xml:space="preserve">feature/*: </w:t>
      </w:r>
      <w:r>
        <w:rPr>
          <w:rFonts w:hint="default" w:ascii="Times New Roman" w:hAnsi="Times New Roman" w:cs="Times New Roman"/>
          <w:color w:val="000000" w:themeColor="text1"/>
          <w:sz w:val="32"/>
          <w:szCs w:val="32"/>
          <w14:textFill>
            <w14:solidFill>
              <w14:schemeClr w14:val="tx1"/>
            </w14:solidFill>
          </w14:textFill>
        </w:rPr>
        <w:t>one branch per feature (feature/battery-monitoring, feature/docker-setup, feature/api-docs), branched from develop and merged back into develop once complete.</w:t>
      </w:r>
    </w:p>
    <w:p>
      <w:pPr>
        <w:spacing w:after="120" w:line="280" w:lineRule="auto"/>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 xml:space="preserve">release/*: </w:t>
      </w:r>
      <w:r>
        <w:rPr>
          <w:rFonts w:hint="default" w:ascii="Times New Roman" w:hAnsi="Times New Roman" w:cs="Times New Roman"/>
          <w:color w:val="000000" w:themeColor="text1"/>
          <w:sz w:val="32"/>
          <w:szCs w:val="32"/>
          <w14:textFill>
            <w14:solidFill>
              <w14:schemeClr w14:val="tx1"/>
            </w14:solidFill>
          </w14:textFill>
        </w:rPr>
        <w:t>a short-lived branch (release/v1.0) cut from develop to prepare a release — version bump, final checks — then merged into main and tagged.</w:t>
      </w:r>
    </w:p>
    <w:p>
      <w:pPr>
        <w:spacing w:after="120" w:line="280" w:lineRule="auto"/>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 xml:space="preserve">hotfix/*: </w:t>
      </w:r>
      <w:r>
        <w:rPr>
          <w:rFonts w:hint="default" w:ascii="Times New Roman" w:hAnsi="Times New Roman" w:cs="Times New Roman"/>
          <w:color w:val="000000" w:themeColor="text1"/>
          <w:sz w:val="32"/>
          <w:szCs w:val="32"/>
          <w14:textFill>
            <w14:solidFill>
              <w14:schemeClr w14:val="tx1"/>
            </w14:solidFill>
          </w14:textFill>
        </w:rPr>
        <w:t>branched directly from main to urgently patch a production issue (hotfix/battery-threshold-fix), then merged into both main and develop so the fix is never lost on the next release.</w:t>
      </w:r>
    </w:p>
    <w:p>
      <w:pPr>
        <w:pStyle w:val="3"/>
        <w:spacing w:before="260" w:after="120"/>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4.2 Why This Model Suits This Project</w:t>
      </w:r>
    </w:p>
    <w:p>
      <w:pPr>
        <w:spacing w:after="160" w:line="300" w:lineRule="auto"/>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SmartCare Assets is a small backend service developed by a single contributor but designed to be deployed to a live hospital environment, where an unstable main branch is unacceptable. Git Flow's strict separation between main (always deployable) and develop (integration in progress) matches this constraint well. Feature branches let each capability — telemetry ingestion, containerization, documentation — be built and reviewed in isolation, and the explicit hotfix path matters specifically because a bug in the low-battery alert threshold is the kind of defect that needs a fast, isolated fix reaching production without waiting for the next full release cycle.</w:t>
      </w:r>
    </w:p>
    <w:p>
      <w:pPr>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5. Version Control Workflow</w:t>
      </w:r>
    </w:p>
    <w:p>
      <w:pPr>
        <w:pStyle w:val="3"/>
        <w:spacing w:before="260" w:after="120"/>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5.1 Branch Creation and Feature Development</w:t>
      </w:r>
    </w:p>
    <w:p>
      <w:pPr>
        <w:spacing w:before="120" w:after="60"/>
        <w:jc w:val="center"/>
      </w:pPr>
      <w:r>
        <w:drawing>
          <wp:inline distT="0" distB="0" distL="0" distR="0">
            <wp:extent cx="4572000" cy="10985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0"/>
                    <a:srcRect/>
                    <a:stretch>
                      <a:fillRect/>
                    </a:stretch>
                  </pic:blipFill>
                  <pic:spPr>
                    <a:xfrm>
                      <a:off x="0" y="0"/>
                      <a:ext cx="4572000" cy="1098939"/>
                    </a:xfrm>
                    <a:prstGeom prst="rect">
                      <a:avLst/>
                    </a:prstGeom>
                  </pic:spPr>
                </pic:pic>
              </a:graphicData>
            </a:graphic>
          </wp:inline>
        </w:drawing>
      </w:r>
    </w:p>
    <w:p>
      <w:pPr>
        <w:spacing w:before="80" w:after="240"/>
        <w:jc w:val="center"/>
      </w:pPr>
      <w:r>
        <w:rPr>
          <w:i/>
          <w:iCs/>
          <w:color w:val="555555"/>
          <w:sz w:val="18"/>
          <w:szCs w:val="18"/>
        </w:rPr>
        <w:t>Figure 5: Creating the develop branch and a feature branch</w:t>
      </w:r>
    </w:p>
    <w:p>
      <w:pPr>
        <w:spacing w:before="120" w:after="60"/>
        <w:jc w:val="center"/>
      </w:pPr>
      <w:r>
        <w:drawing>
          <wp:inline distT="0" distB="0" distL="0" distR="0">
            <wp:extent cx="4572000" cy="22104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1"/>
                    <a:srcRect/>
                    <a:stretch>
                      <a:fillRect/>
                    </a:stretch>
                  </pic:blipFill>
                  <pic:spPr>
                    <a:xfrm>
                      <a:off x="0" y="0"/>
                      <a:ext cx="4572000" cy="2210837"/>
                    </a:xfrm>
                    <a:prstGeom prst="rect">
                      <a:avLst/>
                    </a:prstGeom>
                  </pic:spPr>
                </pic:pic>
              </a:graphicData>
            </a:graphic>
          </wp:inline>
        </w:drawing>
      </w:r>
    </w:p>
    <w:p>
      <w:pPr>
        <w:spacing w:before="80" w:after="240"/>
        <w:jc w:val="center"/>
      </w:pPr>
      <w:r>
        <w:rPr>
          <w:i/>
          <w:iCs/>
          <w:color w:val="555555"/>
          <w:sz w:val="18"/>
          <w:szCs w:val="18"/>
        </w:rPr>
        <w:t>Figure 6: Committing the feature and fast-forward merging into develop</w:t>
      </w:r>
    </w:p>
    <w:p>
      <w:pPr>
        <w:spacing w:after="160" w:line="300" w:lineRule="auto"/>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The battery-monitoring feature was committed on its own branch and merged into develop with a fast-forward merge, since develop had not advanced in the meantime. This is the simplest merge outcome and is appropriate for small, self-contained features merged shortly after they branch.</w:t>
      </w:r>
    </w:p>
    <w:p>
      <w:pPr>
        <w:spacing w:after="160" w:line="300" w:lineRule="auto"/>
        <w:jc w:val="both"/>
        <w:rPr>
          <w:rFonts w:hint="default" w:ascii="Times New Roman" w:hAnsi="Times New Roman" w:cs="Times New Roman"/>
          <w:color w:val="000000" w:themeColor="text1"/>
          <w:sz w:val="32"/>
          <w:szCs w:val="32"/>
          <w14:textFill>
            <w14:solidFill>
              <w14:schemeClr w14:val="tx1"/>
            </w14:solidFill>
          </w14:textFill>
        </w:rPr>
      </w:pPr>
    </w:p>
    <w:p>
      <w:pPr>
        <w:spacing w:after="160" w:line="300" w:lineRule="auto"/>
        <w:jc w:val="both"/>
        <w:rPr>
          <w:rFonts w:hint="default" w:ascii="Times New Roman" w:hAnsi="Times New Roman" w:cs="Times New Roman"/>
          <w:color w:val="000000" w:themeColor="text1"/>
          <w:sz w:val="32"/>
          <w:szCs w:val="32"/>
          <w14:textFill>
            <w14:solidFill>
              <w14:schemeClr w14:val="tx1"/>
            </w14:solidFill>
          </w14:textFill>
        </w:rPr>
      </w:pPr>
    </w:p>
    <w:p>
      <w:pPr>
        <w:pStyle w:val="3"/>
        <w:spacing w:before="260" w:after="120"/>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5.2 Conflict Resolution</w:t>
      </w:r>
    </w:p>
    <w:p>
      <w:pPr>
        <w:spacing w:after="160" w:line="300" w:lineRule="auto"/>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Two branches — feature/docker-setup and feature/api-docs — were both branched from develop and both edited the same paragraph of README.md (one adding a note about the Docker healthcheck, the other adding Swagger/ReDoc documentation links). Merging the first branch succeeded cleanly; merging the second produced a genuine conflict:</w:t>
      </w:r>
    </w:p>
    <w:p>
      <w:pPr>
        <w:spacing w:before="120" w:after="60"/>
        <w:jc w:val="center"/>
      </w:pPr>
      <w:r>
        <w:drawing>
          <wp:inline distT="0" distB="0" distL="0" distR="0">
            <wp:extent cx="4572000" cy="12592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2"/>
                    <a:srcRect/>
                    <a:stretch>
                      <a:fillRect/>
                    </a:stretch>
                  </pic:blipFill>
                  <pic:spPr>
                    <a:xfrm>
                      <a:off x="0" y="0"/>
                      <a:ext cx="4572000" cy="1259633"/>
                    </a:xfrm>
                    <a:prstGeom prst="rect">
                      <a:avLst/>
                    </a:prstGeom>
                  </pic:spPr>
                </pic:pic>
              </a:graphicData>
            </a:graphic>
          </wp:inline>
        </w:drawing>
      </w:r>
    </w:p>
    <w:p>
      <w:pPr>
        <w:spacing w:before="80" w:after="240"/>
        <w:jc w:val="center"/>
      </w:pPr>
      <w:r>
        <w:rPr>
          <w:i/>
          <w:iCs/>
          <w:color w:val="555555"/>
          <w:sz w:val="18"/>
          <w:szCs w:val="18"/>
        </w:rPr>
        <w:t>Figure 7: Merge conflict reported by Git</w:t>
      </w:r>
    </w:p>
    <w:p>
      <w:pPr>
        <w:spacing w:before="120" w:after="60"/>
        <w:jc w:val="center"/>
      </w:pPr>
      <w:r>
        <w:drawing>
          <wp:inline distT="0" distB="0" distL="0" distR="0">
            <wp:extent cx="4572000" cy="23685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3"/>
                    <a:srcRect/>
                    <a:stretch>
                      <a:fillRect/>
                    </a:stretch>
                  </pic:blipFill>
                  <pic:spPr>
                    <a:xfrm>
                      <a:off x="0" y="0"/>
                      <a:ext cx="4572000" cy="2368939"/>
                    </a:xfrm>
                    <a:prstGeom prst="rect">
                      <a:avLst/>
                    </a:prstGeom>
                  </pic:spPr>
                </pic:pic>
              </a:graphicData>
            </a:graphic>
          </wp:inline>
        </w:drawing>
      </w:r>
    </w:p>
    <w:p>
      <w:pPr>
        <w:spacing w:before="80" w:after="240"/>
        <w:jc w:val="center"/>
        <w:rPr>
          <w:rFonts w:hint="default" w:ascii="Times New Roman" w:hAnsi="Times New Roman" w:cs="Times New Roman"/>
        </w:rPr>
      </w:pPr>
      <w:r>
        <w:rPr>
          <w:rFonts w:hint="default" w:ascii="Times New Roman" w:hAnsi="Times New Roman" w:cs="Times New Roman"/>
          <w:i/>
          <w:iCs/>
          <w:color w:val="555555"/>
          <w:sz w:val="18"/>
          <w:szCs w:val="18"/>
        </w:rPr>
        <w:t>Figure 8: Conflict markers left in README.md for manual resolution</w:t>
      </w:r>
    </w:p>
    <w:p>
      <w:pPr>
        <w:spacing w:after="160" w:line="300" w:lineRule="auto"/>
        <w:jc w:val="both"/>
        <w:rPr>
          <w:rFonts w:hint="default" w:ascii="Times New Roman" w:hAnsi="Times New Roman" w:cs="Times New Roman"/>
          <w:sz w:val="32"/>
          <w:szCs w:val="32"/>
        </w:rPr>
      </w:pPr>
      <w:r>
        <w:rPr>
          <w:rFonts w:hint="default" w:ascii="Times New Roman" w:hAnsi="Times New Roman" w:cs="Times New Roman"/>
          <w:sz w:val="32"/>
          <w:szCs w:val="32"/>
        </w:rPr>
        <w:t>The conflict was resolved by manually editing README.md to keep both pieces of information — the Docker healthcheck note and the Swagger/ReDoc links — rather than discarding either side, then staging the resolved file and committing the merge:</w:t>
      </w:r>
    </w:p>
    <w:p>
      <w:pPr>
        <w:spacing w:before="120" w:after="60"/>
        <w:jc w:val="center"/>
      </w:pPr>
      <w:r>
        <w:drawing>
          <wp:inline distT="0" distB="0" distL="0" distR="0">
            <wp:extent cx="4572000" cy="14173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4"/>
                    <a:srcRect/>
                    <a:stretch>
                      <a:fillRect/>
                    </a:stretch>
                  </pic:blipFill>
                  <pic:spPr>
                    <a:xfrm>
                      <a:off x="0" y="0"/>
                      <a:ext cx="4572000" cy="1417735"/>
                    </a:xfrm>
                    <a:prstGeom prst="rect">
                      <a:avLst/>
                    </a:prstGeom>
                  </pic:spPr>
                </pic:pic>
              </a:graphicData>
            </a:graphic>
          </wp:inline>
        </w:drawing>
      </w:r>
    </w:p>
    <w:p>
      <w:pPr>
        <w:spacing w:before="80" w:after="240"/>
        <w:jc w:val="center"/>
      </w:pPr>
      <w:r>
        <w:rPr>
          <w:i/>
          <w:iCs/>
          <w:color w:val="555555"/>
          <w:sz w:val="18"/>
          <w:szCs w:val="18"/>
        </w:rPr>
        <w:t>Figure 9: Conflict resolved, staged, and committed</w:t>
      </w:r>
    </w:p>
    <w:p>
      <w:pPr>
        <w:pStyle w:val="3"/>
        <w:spacing w:before="260" w:after="120"/>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5.3 Release and Hotfix Workflow</w:t>
      </w:r>
    </w:p>
    <w:p>
      <w:pPr>
        <w:spacing w:before="120" w:after="60"/>
        <w:jc w:val="center"/>
      </w:pPr>
      <w:r>
        <w:drawing>
          <wp:inline distT="0" distB="0" distL="0" distR="0">
            <wp:extent cx="4572000" cy="189166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5"/>
                    <a:srcRect/>
                    <a:stretch>
                      <a:fillRect/>
                    </a:stretch>
                  </pic:blipFill>
                  <pic:spPr>
                    <a:xfrm>
                      <a:off x="0" y="0"/>
                      <a:ext cx="4572000" cy="1892041"/>
                    </a:xfrm>
                    <a:prstGeom prst="rect">
                      <a:avLst/>
                    </a:prstGeom>
                  </pic:spPr>
                </pic:pic>
              </a:graphicData>
            </a:graphic>
          </wp:inline>
        </w:drawing>
      </w:r>
    </w:p>
    <w:p>
      <w:pPr>
        <w:spacing w:before="80" w:after="240"/>
        <w:jc w:val="center"/>
      </w:pPr>
      <w:r>
        <w:rPr>
          <w:i/>
          <w:iCs/>
          <w:color w:val="555555"/>
          <w:sz w:val="18"/>
          <w:szCs w:val="18"/>
        </w:rPr>
        <w:t>Figure 10: Cutting release/v1.0, merging into main, and tagging v1.0.0</w:t>
      </w:r>
    </w:p>
    <w:p>
      <w:pPr>
        <w:spacing w:before="120" w:after="60"/>
        <w:jc w:val="center"/>
      </w:pPr>
      <w:r>
        <w:drawing>
          <wp:inline distT="0" distB="0" distL="0" distR="0">
            <wp:extent cx="4572000" cy="15754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6"/>
                    <a:srcRect/>
                    <a:stretch>
                      <a:fillRect/>
                    </a:stretch>
                  </pic:blipFill>
                  <pic:spPr>
                    <a:xfrm>
                      <a:off x="0" y="0"/>
                      <a:ext cx="4572000" cy="1575837"/>
                    </a:xfrm>
                    <a:prstGeom prst="rect">
                      <a:avLst/>
                    </a:prstGeom>
                  </pic:spPr>
                </pic:pic>
              </a:graphicData>
            </a:graphic>
          </wp:inline>
        </w:drawing>
      </w:r>
    </w:p>
    <w:p>
      <w:pPr>
        <w:spacing w:before="80" w:after="240"/>
        <w:jc w:val="center"/>
      </w:pPr>
      <w:r>
        <w:rPr>
          <w:i/>
          <w:iCs/>
          <w:color w:val="555555"/>
          <w:sz w:val="18"/>
          <w:szCs w:val="18"/>
        </w:rPr>
        <w:t>Figure 11: Hotfix branched from main, merged into both main and develop, tagged v1.0.1</w:t>
      </w:r>
    </w:p>
    <w:p>
      <w:pPr>
        <w:pStyle w:val="3"/>
        <w:spacing w:before="260" w:after="120"/>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5.4 Purpose of Each Git Operation</w:t>
      </w:r>
    </w:p>
    <w:p>
      <w:pPr>
        <w:spacing w:after="120" w:line="280" w:lineRule="auto"/>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 xml:space="preserve">git checkout -b: </w:t>
      </w:r>
      <w:r>
        <w:rPr>
          <w:rFonts w:hint="default" w:ascii="Times New Roman" w:hAnsi="Times New Roman" w:cs="Times New Roman"/>
          <w:color w:val="000000" w:themeColor="text1"/>
          <w:sz w:val="32"/>
          <w:szCs w:val="32"/>
          <w14:textFill>
            <w14:solidFill>
              <w14:schemeClr w14:val="tx1"/>
            </w14:solidFill>
          </w14:textFill>
        </w:rPr>
        <w:t>creates and switches to a new branch, isolating in-progress work from the stable branch it was cut from.</w:t>
      </w:r>
    </w:p>
    <w:p>
      <w:pPr>
        <w:spacing w:after="120" w:line="280" w:lineRule="auto"/>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 xml:space="preserve">git merge (fast-forward): </w:t>
      </w:r>
      <w:r>
        <w:rPr>
          <w:rFonts w:hint="default" w:ascii="Times New Roman" w:hAnsi="Times New Roman" w:cs="Times New Roman"/>
          <w:color w:val="000000" w:themeColor="text1"/>
          <w:sz w:val="32"/>
          <w:szCs w:val="32"/>
          <w14:textFill>
            <w14:solidFill>
              <w14:schemeClr w14:val="tx1"/>
            </w14:solidFill>
          </w14:textFill>
        </w:rPr>
        <w:t>moves the target branch pointer forward when no divergent commits exist — the simplest, history-preserving integration.</w:t>
      </w:r>
    </w:p>
    <w:p>
      <w:pPr>
        <w:spacing w:after="120" w:line="280" w:lineRule="auto"/>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 xml:space="preserve">git merge --no-ff: </w:t>
      </w:r>
      <w:r>
        <w:rPr>
          <w:rFonts w:hint="default" w:ascii="Times New Roman" w:hAnsi="Times New Roman" w:cs="Times New Roman"/>
          <w:color w:val="000000" w:themeColor="text1"/>
          <w:sz w:val="32"/>
          <w:szCs w:val="32"/>
          <w14:textFill>
            <w14:solidFill>
              <w14:schemeClr w14:val="tx1"/>
            </w14:solidFill>
          </w14:textFill>
        </w:rPr>
        <w:t>forces a merge commit even when a fast-forward is possible, preserving a visible record that a feature/release/hotfix branch existed and was integrated — used here for all Develop/Main integrations.</w:t>
      </w:r>
    </w:p>
    <w:p>
      <w:pPr>
        <w:spacing w:after="120" w:line="280" w:lineRule="auto"/>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 xml:space="preserve">git tag -a: </w:t>
      </w:r>
      <w:r>
        <w:rPr>
          <w:rFonts w:hint="default" w:ascii="Times New Roman" w:hAnsi="Times New Roman" w:cs="Times New Roman"/>
          <w:color w:val="000000" w:themeColor="text1"/>
          <w:sz w:val="32"/>
          <w:szCs w:val="32"/>
          <w14:textFill>
            <w14:solidFill>
              <w14:schemeClr w14:val="tx1"/>
            </w14:solidFill>
          </w14:textFill>
        </w:rPr>
        <w:t>creates an annotated, permanent marker on a specific commit (v1.0.0, v1.0.1), used to mark exactly what code was released.</w:t>
      </w:r>
    </w:p>
    <w:p>
      <w:pPr>
        <w:spacing w:after="120" w:line="280" w:lineRule="auto"/>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 xml:space="preserve">Conflict resolution: </w:t>
      </w:r>
      <w:r>
        <w:rPr>
          <w:rFonts w:hint="default" w:ascii="Times New Roman" w:hAnsi="Times New Roman" w:cs="Times New Roman"/>
          <w:color w:val="000000" w:themeColor="text1"/>
          <w:sz w:val="32"/>
          <w:szCs w:val="32"/>
          <w14:textFill>
            <w14:solidFill>
              <w14:schemeClr w14:val="tx1"/>
            </w14:solidFill>
          </w14:textFill>
        </w:rPr>
        <w:t>manual editing of conflict-marked sections followed by `git add` and `git commit`, used when Git cannot automatically reconcile two divergent edits to the same lines.</w:t>
      </w:r>
    </w:p>
    <w:p>
      <w:pPr>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6. Commit History Analysis</w:t>
      </w:r>
    </w:p>
    <w:p>
      <w:pPr>
        <w:pStyle w:val="3"/>
        <w:spacing w:before="260" w:after="120"/>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6.1 Full Commit Graph</w:t>
      </w:r>
    </w:p>
    <w:p>
      <w:pPr>
        <w:spacing w:before="120" w:after="60"/>
        <w:jc w:val="center"/>
      </w:pPr>
      <w:r>
        <w:drawing>
          <wp:inline distT="0" distB="0" distL="0" distR="0">
            <wp:extent cx="5334000" cy="572389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7"/>
                    <a:srcRect/>
                    <a:stretch>
                      <a:fillRect/>
                    </a:stretch>
                  </pic:blipFill>
                  <pic:spPr>
                    <a:xfrm>
                      <a:off x="0" y="0"/>
                      <a:ext cx="5334000" cy="5724071"/>
                    </a:xfrm>
                    <a:prstGeom prst="rect">
                      <a:avLst/>
                    </a:prstGeom>
                  </pic:spPr>
                </pic:pic>
              </a:graphicData>
            </a:graphic>
          </wp:inline>
        </w:drawing>
      </w:r>
    </w:p>
    <w:p>
      <w:pPr>
        <w:spacing w:before="80" w:after="240"/>
        <w:jc w:val="center"/>
      </w:pPr>
      <w:r>
        <w:rPr>
          <w:i/>
          <w:iCs/>
          <w:color w:val="555555"/>
          <w:sz w:val="18"/>
          <w:szCs w:val="18"/>
        </w:rPr>
        <w:t>Figure 12: Complete commit history across all branches (git log --oneline --all --graph)</w:t>
      </w:r>
    </w:p>
    <w:p>
      <w:pPr>
        <w:spacing w:before="120" w:after="60"/>
        <w:jc w:val="center"/>
      </w:pPr>
      <w:r>
        <w:drawing>
          <wp:inline distT="0" distB="0" distL="0" distR="0">
            <wp:extent cx="4000500" cy="151701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8"/>
                    <a:srcRect/>
                    <a:stretch>
                      <a:fillRect/>
                    </a:stretch>
                  </pic:blipFill>
                  <pic:spPr>
                    <a:xfrm>
                      <a:off x="0" y="0"/>
                      <a:ext cx="4000500" cy="1517196"/>
                    </a:xfrm>
                    <a:prstGeom prst="rect">
                      <a:avLst/>
                    </a:prstGeom>
                  </pic:spPr>
                </pic:pic>
              </a:graphicData>
            </a:graphic>
          </wp:inline>
        </w:drawing>
      </w:r>
    </w:p>
    <w:p>
      <w:pPr>
        <w:spacing w:before="80" w:after="240"/>
        <w:jc w:val="center"/>
      </w:pPr>
      <w:r>
        <w:rPr>
          <w:i/>
          <w:iCs/>
          <w:color w:val="555555"/>
          <w:sz w:val="18"/>
          <w:szCs w:val="18"/>
        </w:rPr>
        <w:t>Figure 13: All branches present in the repository</w:t>
      </w:r>
    </w:p>
    <w:p>
      <w:pPr>
        <w:pStyle w:val="3"/>
        <w:spacing w:before="260" w:after="120"/>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6.2 Commit Message Conventions</w:t>
      </w:r>
    </w:p>
    <w:p>
      <w:pPr>
        <w:spacing w:after="160" w:line="300" w:lineRule="auto"/>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Every commit in this history follows a Conventional-Commits-style prefix (feat:, fix:, docs:, test:, chore:, merge:, release:, hotfix:) followed by a concise, imperative summary of what changed and, where useful, why. For example, fix: lower low-battery alert threshold from 20% to 15% to reduce false-positive maintenance alerts states the change and its motivation in one line, without needing to open the diff to understand intent.</w:t>
      </w:r>
    </w:p>
    <w:p>
      <w:pPr>
        <w:pStyle w:val="3"/>
        <w:spacing w:before="260" w:after="120"/>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6.3 How This Contributes to Project Maintenance</w:t>
      </w:r>
    </w:p>
    <w:p>
      <w:pPr>
        <w:pStyle w:val="16"/>
        <w:numPr>
          <w:ilvl w:val="0"/>
          <w:numId w:val="1"/>
        </w:numPr>
        <w:spacing w:after="80" w:line="280" w:lineRule="auto"/>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The prefix taxonomy (feat/fix/docs/test/chore) lets a reviewer scan `git log --oneline` and immediately classify each change without reading the diff.</w:t>
      </w:r>
    </w:p>
    <w:p>
      <w:pPr>
        <w:pStyle w:val="16"/>
        <w:numPr>
          <w:ilvl w:val="0"/>
          <w:numId w:val="1"/>
        </w:numPr>
        <w:spacing w:after="80" w:line="280" w:lineRule="auto"/>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Merge and release commits are explicitly labelled (merge:, release:, hotfix:), making the graph in Figure 12 self-documenting about which branches were integrated and when.</w:t>
      </w:r>
    </w:p>
    <w:p>
      <w:pPr>
        <w:pStyle w:val="16"/>
        <w:numPr>
          <w:ilvl w:val="0"/>
          <w:numId w:val="1"/>
        </w:numPr>
        <w:spacing w:after="80" w:line="280" w:lineRule="auto"/>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Annotated tags (v1.0.0, v1.0.1) give a permanent, unambiguous reference point for “what was actually deployed,” which matters for a hospital-facing system where rollback and audit trails are operationally important.</w:t>
      </w:r>
    </w:p>
    <w:p>
      <w:pPr>
        <w:pStyle w:val="16"/>
        <w:numPr>
          <w:ilvl w:val="0"/>
          <w:numId w:val="1"/>
        </w:numPr>
        <w:spacing w:after="80" w:line="280" w:lineRule="auto"/>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Small, single-purpose commits (one feature, one fix, one doc update per commit) mean `git bisect` or `git revert` can isolate a regression to a specific, narrow change rather than a large mixed commit.</w:t>
      </w:r>
    </w:p>
    <w:p>
      <w:r>
        <w:br w:type="page"/>
      </w:r>
    </w:p>
    <w:p>
      <w:pPr>
        <w:pStyle w:val="2"/>
        <w:spacing w:before="360" w:after="180"/>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7. Docker Environment Design</w:t>
      </w:r>
    </w:p>
    <w:p>
      <w:pPr>
        <w:pStyle w:val="3"/>
        <w:spacing w:before="260" w:after="120"/>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7.1 Why Docker Is Suitable for This Project</w:t>
      </w:r>
    </w:p>
    <w:p>
      <w:pPr>
        <w:spacing w:after="160" w:line="300" w:lineRule="auto"/>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SmartCare Assets depends on a specific Python runtime, a set of pinned packages, and a PostgreSQL database — three moving parts that must match exactly between a developer's laptop, a CI pipeline, and a hospital's production server. Docker removes “works on my machine” failure modes by packaging the application and its exact runtime into an image that behaves identically everywhere it runs, and Docker Compose lets the API and database be defined, networked, and started together with a single command — important for a small team (or solo developer) that needs to onboard or redeploy quickly without a manual setup checklist.</w:t>
      </w:r>
    </w:p>
    <w:p>
      <w:pPr>
        <w:pStyle w:val="3"/>
        <w:spacing w:before="260" w:after="120"/>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7.2 Components Requiring Containerization</w:t>
      </w:r>
    </w:p>
    <w:p>
      <w:pPr>
        <w:pStyle w:val="16"/>
        <w:numPr>
          <w:ilvl w:val="0"/>
          <w:numId w:val="1"/>
        </w:numPr>
        <w:spacing w:after="80" w:line="280" w:lineRule="auto"/>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API service (smartcare-api): the FastAPI/Uvicorn application — containerized so its exact Python version and dependency set travel with it.</w:t>
      </w:r>
    </w:p>
    <w:p>
      <w:pPr>
        <w:pStyle w:val="16"/>
        <w:numPr>
          <w:ilvl w:val="0"/>
          <w:numId w:val="1"/>
        </w:numPr>
        <w:spacing w:after="80" w:line="280" w:lineRule="auto"/>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Database service (smartcare-db): PostgreSQL 16 — containerized using the official postgres:16-alpine image so no manual database installation is required on any host.</w:t>
      </w:r>
    </w:p>
    <w:p>
      <w:pPr>
        <w:pStyle w:val="16"/>
        <w:numPr>
          <w:ilvl w:val="0"/>
          <w:numId w:val="1"/>
        </w:numPr>
        <w:spacing w:after="80" w:line="280" w:lineRule="auto"/>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Network layer (smartcare-net): a private bridge network so the API and database can address each other by service name without exposing the database port to the host.</w:t>
      </w:r>
    </w:p>
    <w:p>
      <w:pPr>
        <w:pStyle w:val="16"/>
        <w:numPr>
          <w:ilvl w:val="0"/>
          <w:numId w:val="1"/>
        </w:numPr>
        <w:spacing w:after="80" w:line="280" w:lineRule="auto"/>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Persistent volume (postgres_data): a named Docker volume so database contents survive container restarts and rebuilds.</w:t>
      </w:r>
    </w:p>
    <w:p>
      <w:r>
        <w:br w:type="page"/>
      </w:r>
    </w:p>
    <w:p>
      <w:pPr>
        <w:pStyle w:val="2"/>
        <w:spacing w:before="360" w:after="180"/>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8. Dockerfile Development</w:t>
      </w:r>
    </w:p>
    <w:p>
      <w:pPr>
        <w:pStyle w:val="3"/>
        <w:spacing w:before="260" w:after="120"/>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8.1 Dockerfile</w:t>
      </w:r>
    </w:p>
    <w:p>
      <w:pPr>
        <w:shd w:val="clear" w:fill="F2F2F0"/>
        <w:spacing w:before="100" w:after="200" w:line="260" w:lineRule="auto"/>
      </w:pPr>
      <w:r>
        <w:rPr>
          <w:rFonts w:ascii="Courier New" w:hAnsi="Courier New" w:eastAsia="Courier New" w:cs="Courier New"/>
          <w:sz w:val="18"/>
          <w:szCs w:val="18"/>
        </w:rPr>
        <w:t>FROM python:3.12-slim AS base</w:t>
      </w:r>
      <w:r>
        <w:rPr>
          <w:rFonts w:ascii="Courier New" w:hAnsi="Courier New" w:eastAsia="Courier New" w:cs="Courier New"/>
          <w:sz w:val="18"/>
          <w:szCs w:val="18"/>
        </w:rPr>
        <w:br w:type="textWrapping"/>
      </w:r>
      <w:r>
        <w:rPr>
          <w:rFonts w:ascii="Courier New" w:hAnsi="Courier New" w:eastAsia="Courier New" w:cs="Courier New"/>
          <w:sz w:val="18"/>
          <w:szCs w:val="18"/>
        </w:rPr>
        <w:br w:type="textWrapping"/>
      </w:r>
      <w:r>
        <w:rPr>
          <w:rFonts w:ascii="Courier New" w:hAnsi="Courier New" w:eastAsia="Courier New" w:cs="Courier New"/>
          <w:sz w:val="18"/>
          <w:szCs w:val="18"/>
        </w:rPr>
        <w:t>ENV PYTHONDONTWRITEBYTECODE=1 \</w:t>
      </w:r>
      <w:r>
        <w:rPr>
          <w:rFonts w:ascii="Courier New" w:hAnsi="Courier New" w:eastAsia="Courier New" w:cs="Courier New"/>
          <w:sz w:val="18"/>
          <w:szCs w:val="18"/>
        </w:rPr>
        <w:br w:type="textWrapping"/>
      </w:r>
      <w:r>
        <w:rPr>
          <w:rFonts w:ascii="Courier New" w:hAnsi="Courier New" w:eastAsia="Courier New" w:cs="Courier New"/>
          <w:sz w:val="18"/>
          <w:szCs w:val="18"/>
        </w:rPr>
        <w:t xml:space="preserve">    PYTHONUNBUFFERED=1</w:t>
      </w:r>
      <w:r>
        <w:rPr>
          <w:rFonts w:ascii="Courier New" w:hAnsi="Courier New" w:eastAsia="Courier New" w:cs="Courier New"/>
          <w:sz w:val="18"/>
          <w:szCs w:val="18"/>
        </w:rPr>
        <w:br w:type="textWrapping"/>
      </w:r>
      <w:r>
        <w:rPr>
          <w:rFonts w:ascii="Courier New" w:hAnsi="Courier New" w:eastAsia="Courier New" w:cs="Courier New"/>
          <w:sz w:val="18"/>
          <w:szCs w:val="18"/>
        </w:rPr>
        <w:br w:type="textWrapping"/>
      </w:r>
      <w:r>
        <w:rPr>
          <w:rFonts w:ascii="Courier New" w:hAnsi="Courier New" w:eastAsia="Courier New" w:cs="Courier New"/>
          <w:sz w:val="18"/>
          <w:szCs w:val="18"/>
        </w:rPr>
        <w:t>WORKDIR /app</w:t>
      </w:r>
      <w:r>
        <w:rPr>
          <w:rFonts w:ascii="Courier New" w:hAnsi="Courier New" w:eastAsia="Courier New" w:cs="Courier New"/>
          <w:sz w:val="18"/>
          <w:szCs w:val="18"/>
        </w:rPr>
        <w:br w:type="textWrapping"/>
      </w:r>
      <w:r>
        <w:rPr>
          <w:rFonts w:ascii="Courier New" w:hAnsi="Courier New" w:eastAsia="Courier New" w:cs="Courier New"/>
          <w:sz w:val="18"/>
          <w:szCs w:val="18"/>
        </w:rPr>
        <w:br w:type="textWrapping"/>
      </w:r>
      <w:r>
        <w:rPr>
          <w:rFonts w:ascii="Courier New" w:hAnsi="Courier New" w:eastAsia="Courier New" w:cs="Courier New"/>
          <w:sz w:val="18"/>
          <w:szCs w:val="18"/>
        </w:rPr>
        <w:t>COPY requirements.txt .</w:t>
      </w:r>
      <w:r>
        <w:rPr>
          <w:rFonts w:ascii="Courier New" w:hAnsi="Courier New" w:eastAsia="Courier New" w:cs="Courier New"/>
          <w:sz w:val="18"/>
          <w:szCs w:val="18"/>
        </w:rPr>
        <w:br w:type="textWrapping"/>
      </w:r>
      <w:r>
        <w:rPr>
          <w:rFonts w:ascii="Courier New" w:hAnsi="Courier New" w:eastAsia="Courier New" w:cs="Courier New"/>
          <w:sz w:val="18"/>
          <w:szCs w:val="18"/>
        </w:rPr>
        <w:t>RUN pip install --no-cache-dir -r requirements.txt</w:t>
      </w:r>
      <w:r>
        <w:rPr>
          <w:rFonts w:ascii="Courier New" w:hAnsi="Courier New" w:eastAsia="Courier New" w:cs="Courier New"/>
          <w:sz w:val="18"/>
          <w:szCs w:val="18"/>
        </w:rPr>
        <w:br w:type="textWrapping"/>
      </w:r>
      <w:r>
        <w:rPr>
          <w:rFonts w:ascii="Courier New" w:hAnsi="Courier New" w:eastAsia="Courier New" w:cs="Courier New"/>
          <w:sz w:val="18"/>
          <w:szCs w:val="18"/>
        </w:rPr>
        <w:br w:type="textWrapping"/>
      </w:r>
      <w:r>
        <w:rPr>
          <w:rFonts w:ascii="Courier New" w:hAnsi="Courier New" w:eastAsia="Courier New" w:cs="Courier New"/>
          <w:sz w:val="18"/>
          <w:szCs w:val="18"/>
        </w:rPr>
        <w:t>COPY app/ ./app/</w:t>
      </w:r>
      <w:r>
        <w:rPr>
          <w:rFonts w:ascii="Courier New" w:hAnsi="Courier New" w:eastAsia="Courier New" w:cs="Courier New"/>
          <w:sz w:val="18"/>
          <w:szCs w:val="18"/>
        </w:rPr>
        <w:br w:type="textWrapping"/>
      </w:r>
      <w:r>
        <w:rPr>
          <w:rFonts w:ascii="Courier New" w:hAnsi="Courier New" w:eastAsia="Courier New" w:cs="Courier New"/>
          <w:sz w:val="18"/>
          <w:szCs w:val="18"/>
        </w:rPr>
        <w:t>COPY alembic/ ./alembic/</w:t>
      </w:r>
      <w:r>
        <w:rPr>
          <w:rFonts w:ascii="Courier New" w:hAnsi="Courier New" w:eastAsia="Courier New" w:cs="Courier New"/>
          <w:sz w:val="18"/>
          <w:szCs w:val="18"/>
        </w:rPr>
        <w:br w:type="textWrapping"/>
      </w:r>
      <w:r>
        <w:rPr>
          <w:rFonts w:ascii="Courier New" w:hAnsi="Courier New" w:eastAsia="Courier New" w:cs="Courier New"/>
          <w:sz w:val="18"/>
          <w:szCs w:val="18"/>
        </w:rPr>
        <w:br w:type="textWrapping"/>
      </w:r>
      <w:r>
        <w:rPr>
          <w:rFonts w:ascii="Courier New" w:hAnsi="Courier New" w:eastAsia="Courier New" w:cs="Courier New"/>
          <w:sz w:val="18"/>
          <w:szCs w:val="18"/>
        </w:rPr>
        <w:t>RUN useradd --create-home appuser</w:t>
      </w:r>
      <w:r>
        <w:rPr>
          <w:rFonts w:ascii="Courier New" w:hAnsi="Courier New" w:eastAsia="Courier New" w:cs="Courier New"/>
          <w:sz w:val="18"/>
          <w:szCs w:val="18"/>
        </w:rPr>
        <w:br w:type="textWrapping"/>
      </w:r>
      <w:r>
        <w:rPr>
          <w:rFonts w:ascii="Courier New" w:hAnsi="Courier New" w:eastAsia="Courier New" w:cs="Courier New"/>
          <w:sz w:val="18"/>
          <w:szCs w:val="18"/>
        </w:rPr>
        <w:t>USER appuser</w:t>
      </w:r>
      <w:r>
        <w:rPr>
          <w:rFonts w:ascii="Courier New" w:hAnsi="Courier New" w:eastAsia="Courier New" w:cs="Courier New"/>
          <w:sz w:val="18"/>
          <w:szCs w:val="18"/>
        </w:rPr>
        <w:br w:type="textWrapping"/>
      </w:r>
      <w:r>
        <w:rPr>
          <w:rFonts w:ascii="Courier New" w:hAnsi="Courier New" w:eastAsia="Courier New" w:cs="Courier New"/>
          <w:sz w:val="18"/>
          <w:szCs w:val="18"/>
        </w:rPr>
        <w:br w:type="textWrapping"/>
      </w:r>
      <w:r>
        <w:rPr>
          <w:rFonts w:ascii="Courier New" w:hAnsi="Courier New" w:eastAsia="Courier New" w:cs="Courier New"/>
          <w:sz w:val="18"/>
          <w:szCs w:val="18"/>
        </w:rPr>
        <w:t>EXPOSE 8000</w:t>
      </w:r>
      <w:r>
        <w:rPr>
          <w:rFonts w:ascii="Courier New" w:hAnsi="Courier New" w:eastAsia="Courier New" w:cs="Courier New"/>
          <w:sz w:val="18"/>
          <w:szCs w:val="18"/>
        </w:rPr>
        <w:br w:type="textWrapping"/>
      </w:r>
      <w:r>
        <w:rPr>
          <w:rFonts w:ascii="Courier New" w:hAnsi="Courier New" w:eastAsia="Courier New" w:cs="Courier New"/>
          <w:sz w:val="18"/>
          <w:szCs w:val="18"/>
        </w:rPr>
        <w:br w:type="textWrapping"/>
      </w:r>
      <w:r>
        <w:rPr>
          <w:rFonts w:ascii="Courier New" w:hAnsi="Courier New" w:eastAsia="Courier New" w:cs="Courier New"/>
          <w:sz w:val="18"/>
          <w:szCs w:val="18"/>
        </w:rPr>
        <w:t>HEALTHCHECK --interval=30s --timeout=5s --start-period=10s \</w:t>
      </w:r>
      <w:r>
        <w:rPr>
          <w:rFonts w:ascii="Courier New" w:hAnsi="Courier New" w:eastAsia="Courier New" w:cs="Courier New"/>
          <w:sz w:val="18"/>
          <w:szCs w:val="18"/>
        </w:rPr>
        <w:br w:type="textWrapping"/>
      </w:r>
      <w:r>
        <w:rPr>
          <w:rFonts w:ascii="Courier New" w:hAnsi="Courier New" w:eastAsia="Courier New" w:cs="Courier New"/>
          <w:sz w:val="18"/>
          <w:szCs w:val="18"/>
        </w:rPr>
        <w:t xml:space="preserve">  CMD python -c "import urllib.request; urllib.request.urlopen('http://localhost:8000/health')" || exit 1</w:t>
      </w:r>
      <w:r>
        <w:rPr>
          <w:rFonts w:ascii="Courier New" w:hAnsi="Courier New" w:eastAsia="Courier New" w:cs="Courier New"/>
          <w:sz w:val="18"/>
          <w:szCs w:val="18"/>
        </w:rPr>
        <w:br w:type="textWrapping"/>
      </w:r>
      <w:r>
        <w:rPr>
          <w:rFonts w:ascii="Courier New" w:hAnsi="Courier New" w:eastAsia="Courier New" w:cs="Courier New"/>
          <w:sz w:val="18"/>
          <w:szCs w:val="18"/>
        </w:rPr>
        <w:br w:type="textWrapping"/>
      </w:r>
      <w:r>
        <w:rPr>
          <w:rFonts w:ascii="Courier New" w:hAnsi="Courier New" w:eastAsia="Courier New" w:cs="Courier New"/>
          <w:sz w:val="18"/>
          <w:szCs w:val="18"/>
        </w:rPr>
        <w:t>CMD ["uvicorn", "app.main:app", "--host", "0.0.0.0", "--port", "8000"]</w:t>
      </w:r>
    </w:p>
    <w:p>
      <w:pPr>
        <w:pStyle w:val="3"/>
        <w:spacing w:before="260" w:after="120"/>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8.2 Purpose of Each Instruction</w:t>
      </w:r>
    </w:p>
    <w:p>
      <w:pPr>
        <w:spacing w:after="120" w:line="280" w:lineRule="auto"/>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 xml:space="preserve">FROM python:3.12-slim: </w:t>
      </w:r>
      <w:r>
        <w:rPr>
          <w:rFonts w:hint="default" w:ascii="Times New Roman" w:hAnsi="Times New Roman" w:cs="Times New Roman"/>
          <w:color w:val="000000" w:themeColor="text1"/>
          <w:sz w:val="32"/>
          <w:szCs w:val="32"/>
          <w14:textFill>
            <w14:solidFill>
              <w14:schemeClr w14:val="tx1"/>
            </w14:solidFill>
          </w14:textFill>
        </w:rPr>
        <w:t>starts from a minimal official Python image — small enough for fast builds and a smaller attack surface than a full OS image.</w:t>
      </w:r>
    </w:p>
    <w:p>
      <w:pPr>
        <w:spacing w:after="120" w:line="280" w:lineRule="auto"/>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 xml:space="preserve">ENV PYTHONDONTWRITEBYTECODE / PYTHONUNBUFFERED: </w:t>
      </w:r>
      <w:r>
        <w:rPr>
          <w:rFonts w:hint="default" w:ascii="Times New Roman" w:hAnsi="Times New Roman" w:cs="Times New Roman"/>
          <w:color w:val="000000" w:themeColor="text1"/>
          <w:sz w:val="32"/>
          <w:szCs w:val="32"/>
          <w14:textFill>
            <w14:solidFill>
              <w14:schemeClr w14:val="tx1"/>
            </w14:solidFill>
          </w14:textFill>
        </w:rPr>
        <w:t>stops Python writing .pyc files into the image layer and ensures logs are flushed immediately, which matters for container log visibility.</w:t>
      </w:r>
    </w:p>
    <w:p>
      <w:pPr>
        <w:spacing w:after="120" w:line="280" w:lineRule="auto"/>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 xml:space="preserve">WORKDIR /app: </w:t>
      </w:r>
      <w:r>
        <w:rPr>
          <w:rFonts w:hint="default" w:ascii="Times New Roman" w:hAnsi="Times New Roman" w:cs="Times New Roman"/>
          <w:color w:val="000000" w:themeColor="text1"/>
          <w:sz w:val="32"/>
          <w:szCs w:val="32"/>
          <w14:textFill>
            <w14:solidFill>
              <w14:schemeClr w14:val="tx1"/>
            </w14:solidFill>
          </w14:textFill>
        </w:rPr>
        <w:t>sets a consistent working directory for all subsequent instructions and the running container.</w:t>
      </w:r>
    </w:p>
    <w:p>
      <w:pPr>
        <w:spacing w:after="120" w:line="280" w:lineRule="auto"/>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 xml:space="preserve">COPY requirements.txt . + RUN pip install: </w:t>
      </w:r>
      <w:r>
        <w:rPr>
          <w:rFonts w:hint="default" w:ascii="Times New Roman" w:hAnsi="Times New Roman" w:cs="Times New Roman"/>
          <w:color w:val="000000" w:themeColor="text1"/>
          <w:sz w:val="32"/>
          <w:szCs w:val="32"/>
          <w14:textFill>
            <w14:solidFill>
              <w14:schemeClr w14:val="tx1"/>
            </w14:solidFill>
          </w14:textFill>
        </w:rPr>
        <w:t>installs dependencies in their own layer before copying application code, so Docker's build cache is reused (dependencies aren't reinstalled) whenever only application code changes.</w:t>
      </w:r>
    </w:p>
    <w:p>
      <w:pPr>
        <w:spacing w:after="120" w:line="280" w:lineRule="auto"/>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 xml:space="preserve">COPY app/ / COPY alembic/: </w:t>
      </w:r>
      <w:r>
        <w:rPr>
          <w:rFonts w:hint="default" w:ascii="Times New Roman" w:hAnsi="Times New Roman" w:cs="Times New Roman"/>
          <w:color w:val="000000" w:themeColor="text1"/>
          <w:sz w:val="32"/>
          <w:szCs w:val="32"/>
          <w14:textFill>
            <w14:solidFill>
              <w14:schemeClr w14:val="tx1"/>
            </w14:solidFill>
          </w14:textFill>
        </w:rPr>
        <w:t>copies application source and migration scripts into the image after dependencies are cached.</w:t>
      </w:r>
    </w:p>
    <w:p>
      <w:pPr>
        <w:spacing w:after="120" w:line="280" w:lineRule="auto"/>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 xml:space="preserve">RUN useradd + USER appuser: </w:t>
      </w:r>
      <w:r>
        <w:rPr>
          <w:rFonts w:hint="default" w:ascii="Times New Roman" w:hAnsi="Times New Roman" w:cs="Times New Roman"/>
          <w:color w:val="000000" w:themeColor="text1"/>
          <w:sz w:val="32"/>
          <w:szCs w:val="32"/>
          <w14:textFill>
            <w14:solidFill>
              <w14:schemeClr w14:val="tx1"/>
            </w14:solidFill>
          </w14:textFill>
        </w:rPr>
        <w:t>creates and switches to a non-root user — a security best practice so the container process does not run with root privileges.</w:t>
      </w:r>
    </w:p>
    <w:p>
      <w:pPr>
        <w:spacing w:after="120" w:line="280" w:lineRule="auto"/>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 xml:space="preserve">EXPOSE 8000: </w:t>
      </w:r>
      <w:r>
        <w:rPr>
          <w:rFonts w:hint="default" w:ascii="Times New Roman" w:hAnsi="Times New Roman" w:cs="Times New Roman"/>
          <w:color w:val="000000" w:themeColor="text1"/>
          <w:sz w:val="32"/>
          <w:szCs w:val="32"/>
          <w14:textFill>
            <w14:solidFill>
              <w14:schemeClr w14:val="tx1"/>
            </w14:solidFill>
          </w14:textFill>
        </w:rPr>
        <w:t>documents which port the container listens on (informational; actual publishing happens in docker-compose.yml).</w:t>
      </w:r>
    </w:p>
    <w:p>
      <w:pPr>
        <w:spacing w:after="120" w:line="280" w:lineRule="auto"/>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 xml:space="preserve">HEALTHCHECK: </w:t>
      </w:r>
      <w:r>
        <w:rPr>
          <w:rFonts w:hint="default" w:ascii="Times New Roman" w:hAnsi="Times New Roman" w:cs="Times New Roman"/>
          <w:color w:val="000000" w:themeColor="text1"/>
          <w:sz w:val="32"/>
          <w:szCs w:val="32"/>
          <w14:textFill>
            <w14:solidFill>
              <w14:schemeClr w14:val="tx1"/>
            </w14:solidFill>
          </w14:textFill>
        </w:rPr>
        <w:t>lets Docker (and docker-compose's depends_on: condition: service_healthy) know whether the API is actually ready to serve traffic, not just whether the process has started.</w:t>
      </w:r>
    </w:p>
    <w:p>
      <w:pPr>
        <w:spacing w:after="120" w:line="280" w:lineRule="auto"/>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 xml:space="preserve">CMD: </w:t>
      </w:r>
      <w:r>
        <w:rPr>
          <w:rFonts w:hint="default" w:ascii="Times New Roman" w:hAnsi="Times New Roman" w:cs="Times New Roman"/>
          <w:color w:val="000000" w:themeColor="text1"/>
          <w:sz w:val="32"/>
          <w:szCs w:val="32"/>
          <w14:textFill>
            <w14:solidFill>
              <w14:schemeClr w14:val="tx1"/>
            </w14:solidFill>
          </w14:textFill>
        </w:rPr>
        <w:t>the default command run when the container starts — launches Uvicorn bound to all interfaces so it is reachable from outside the container.</w:t>
      </w:r>
    </w:p>
    <w:p>
      <w:r>
        <w:br w:type="page"/>
      </w:r>
    </w:p>
    <w:p>
      <w:pPr>
        <w:pStyle w:val="2"/>
        <w:spacing w:before="360" w:after="18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9. Docker Compose Design</w:t>
      </w:r>
    </w:p>
    <w:p>
      <w:pPr>
        <w:pStyle w:val="3"/>
        <w:spacing w:before="260" w:after="120"/>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9.1 docker-compose.yml</w:t>
      </w:r>
    </w:p>
    <w:p>
      <w:pPr>
        <w:shd w:val="clear" w:fill="F2F2F0"/>
        <w:spacing w:before="100" w:after="200" w:line="260" w:lineRule="auto"/>
      </w:pPr>
      <w:r>
        <w:rPr>
          <w:rFonts w:ascii="Courier New" w:hAnsi="Courier New" w:eastAsia="Courier New" w:cs="Courier New"/>
          <w:sz w:val="18"/>
          <w:szCs w:val="18"/>
        </w:rPr>
        <w:t>version: "3.9"</w:t>
      </w:r>
      <w:r>
        <w:rPr>
          <w:rFonts w:ascii="Courier New" w:hAnsi="Courier New" w:eastAsia="Courier New" w:cs="Courier New"/>
          <w:sz w:val="18"/>
          <w:szCs w:val="18"/>
        </w:rPr>
        <w:br w:type="textWrapping"/>
      </w:r>
      <w:r>
        <w:rPr>
          <w:rFonts w:ascii="Courier New" w:hAnsi="Courier New" w:eastAsia="Courier New" w:cs="Courier New"/>
          <w:sz w:val="18"/>
          <w:szCs w:val="18"/>
        </w:rPr>
        <w:br w:type="textWrapping"/>
      </w:r>
      <w:r>
        <w:rPr>
          <w:rFonts w:ascii="Courier New" w:hAnsi="Courier New" w:eastAsia="Courier New" w:cs="Courier New"/>
          <w:sz w:val="18"/>
          <w:szCs w:val="18"/>
        </w:rPr>
        <w:t>services:</w:t>
      </w:r>
      <w:r>
        <w:rPr>
          <w:rFonts w:ascii="Courier New" w:hAnsi="Courier New" w:eastAsia="Courier New" w:cs="Courier New"/>
          <w:sz w:val="18"/>
          <w:szCs w:val="18"/>
        </w:rPr>
        <w:br w:type="textWrapping"/>
      </w:r>
      <w:r>
        <w:rPr>
          <w:rFonts w:ascii="Courier New" w:hAnsi="Courier New" w:eastAsia="Courier New" w:cs="Courier New"/>
          <w:sz w:val="18"/>
          <w:szCs w:val="18"/>
        </w:rPr>
        <w:t xml:space="preserve">  api:</w:t>
      </w:r>
      <w:r>
        <w:rPr>
          <w:rFonts w:ascii="Courier New" w:hAnsi="Courier New" w:eastAsia="Courier New" w:cs="Courier New"/>
          <w:sz w:val="18"/>
          <w:szCs w:val="18"/>
        </w:rPr>
        <w:br w:type="textWrapping"/>
      </w:r>
      <w:r>
        <w:rPr>
          <w:rFonts w:ascii="Courier New" w:hAnsi="Courier New" w:eastAsia="Courier New" w:cs="Courier New"/>
          <w:sz w:val="18"/>
          <w:szCs w:val="18"/>
        </w:rPr>
        <w:t xml:space="preserve">    build: .</w:t>
      </w:r>
      <w:r>
        <w:rPr>
          <w:rFonts w:ascii="Courier New" w:hAnsi="Courier New" w:eastAsia="Courier New" w:cs="Courier New"/>
          <w:sz w:val="18"/>
          <w:szCs w:val="18"/>
        </w:rPr>
        <w:br w:type="textWrapping"/>
      </w:r>
      <w:r>
        <w:rPr>
          <w:rFonts w:ascii="Courier New" w:hAnsi="Courier New" w:eastAsia="Courier New" w:cs="Courier New"/>
          <w:sz w:val="18"/>
          <w:szCs w:val="18"/>
        </w:rPr>
        <w:t xml:space="preserve">    container_name: smartcare-api</w:t>
      </w:r>
      <w:r>
        <w:rPr>
          <w:rFonts w:ascii="Courier New" w:hAnsi="Courier New" w:eastAsia="Courier New" w:cs="Courier New"/>
          <w:sz w:val="18"/>
          <w:szCs w:val="18"/>
        </w:rPr>
        <w:br w:type="textWrapping"/>
      </w:r>
      <w:r>
        <w:rPr>
          <w:rFonts w:ascii="Courier New" w:hAnsi="Courier New" w:eastAsia="Courier New" w:cs="Courier New"/>
          <w:sz w:val="18"/>
          <w:szCs w:val="18"/>
        </w:rPr>
        <w:t xml:space="preserve">    restart: unless-stopped</w:t>
      </w:r>
      <w:r>
        <w:rPr>
          <w:rFonts w:ascii="Courier New" w:hAnsi="Courier New" w:eastAsia="Courier New" w:cs="Courier New"/>
          <w:sz w:val="18"/>
          <w:szCs w:val="18"/>
        </w:rPr>
        <w:br w:type="textWrapping"/>
      </w:r>
      <w:r>
        <w:rPr>
          <w:rFonts w:ascii="Courier New" w:hAnsi="Courier New" w:eastAsia="Courier New" w:cs="Courier New"/>
          <w:sz w:val="18"/>
          <w:szCs w:val="18"/>
        </w:rPr>
        <w:t xml:space="preserve">    ports:</w:t>
      </w:r>
      <w:r>
        <w:rPr>
          <w:rFonts w:ascii="Courier New" w:hAnsi="Courier New" w:eastAsia="Courier New" w:cs="Courier New"/>
          <w:sz w:val="18"/>
          <w:szCs w:val="18"/>
        </w:rPr>
        <w:br w:type="textWrapping"/>
      </w:r>
      <w:r>
        <w:rPr>
          <w:rFonts w:ascii="Courier New" w:hAnsi="Courier New" w:eastAsia="Courier New" w:cs="Courier New"/>
          <w:sz w:val="18"/>
          <w:szCs w:val="18"/>
        </w:rPr>
        <w:t xml:space="preserve">      - "${API_PORT:-8000}:8000"</w:t>
      </w:r>
      <w:r>
        <w:rPr>
          <w:rFonts w:ascii="Courier New" w:hAnsi="Courier New" w:eastAsia="Courier New" w:cs="Courier New"/>
          <w:sz w:val="18"/>
          <w:szCs w:val="18"/>
        </w:rPr>
        <w:br w:type="textWrapping"/>
      </w:r>
      <w:r>
        <w:rPr>
          <w:rFonts w:ascii="Courier New" w:hAnsi="Courier New" w:eastAsia="Courier New" w:cs="Courier New"/>
          <w:sz w:val="18"/>
          <w:szCs w:val="18"/>
        </w:rPr>
        <w:t xml:space="preserve">    environment:</w:t>
      </w:r>
      <w:r>
        <w:rPr>
          <w:rFonts w:ascii="Courier New" w:hAnsi="Courier New" w:eastAsia="Courier New" w:cs="Courier New"/>
          <w:sz w:val="18"/>
          <w:szCs w:val="18"/>
        </w:rPr>
        <w:br w:type="textWrapping"/>
      </w:r>
      <w:r>
        <w:rPr>
          <w:rFonts w:ascii="Courier New" w:hAnsi="Courier New" w:eastAsia="Courier New" w:cs="Courier New"/>
          <w:sz w:val="18"/>
          <w:szCs w:val="18"/>
        </w:rPr>
        <w:t xml:space="preserve">      - DATABASE_URL=${DATABASE_URL}</w:t>
      </w:r>
      <w:r>
        <w:rPr>
          <w:rFonts w:ascii="Courier New" w:hAnsi="Courier New" w:eastAsia="Courier New" w:cs="Courier New"/>
          <w:sz w:val="18"/>
          <w:szCs w:val="18"/>
        </w:rPr>
        <w:br w:type="textWrapping"/>
      </w:r>
      <w:r>
        <w:rPr>
          <w:rFonts w:ascii="Courier New" w:hAnsi="Courier New" w:eastAsia="Courier New" w:cs="Courier New"/>
          <w:sz w:val="18"/>
          <w:szCs w:val="18"/>
        </w:rPr>
        <w:t xml:space="preserve">    depends_on:</w:t>
      </w:r>
      <w:r>
        <w:rPr>
          <w:rFonts w:ascii="Courier New" w:hAnsi="Courier New" w:eastAsia="Courier New" w:cs="Courier New"/>
          <w:sz w:val="18"/>
          <w:szCs w:val="18"/>
        </w:rPr>
        <w:br w:type="textWrapping"/>
      </w:r>
      <w:r>
        <w:rPr>
          <w:rFonts w:ascii="Courier New" w:hAnsi="Courier New" w:eastAsia="Courier New" w:cs="Courier New"/>
          <w:sz w:val="18"/>
          <w:szCs w:val="18"/>
        </w:rPr>
        <w:t xml:space="preserve">      db:</w:t>
      </w:r>
      <w:r>
        <w:rPr>
          <w:rFonts w:ascii="Courier New" w:hAnsi="Courier New" w:eastAsia="Courier New" w:cs="Courier New"/>
          <w:sz w:val="18"/>
          <w:szCs w:val="18"/>
        </w:rPr>
        <w:br w:type="textWrapping"/>
      </w:r>
      <w:r>
        <w:rPr>
          <w:rFonts w:ascii="Courier New" w:hAnsi="Courier New" w:eastAsia="Courier New" w:cs="Courier New"/>
          <w:sz w:val="18"/>
          <w:szCs w:val="18"/>
        </w:rPr>
        <w:t xml:space="preserve">        condition: service_healthy</w:t>
      </w:r>
      <w:r>
        <w:rPr>
          <w:rFonts w:ascii="Courier New" w:hAnsi="Courier New" w:eastAsia="Courier New" w:cs="Courier New"/>
          <w:sz w:val="18"/>
          <w:szCs w:val="18"/>
        </w:rPr>
        <w:br w:type="textWrapping"/>
      </w:r>
      <w:r>
        <w:rPr>
          <w:rFonts w:ascii="Courier New" w:hAnsi="Courier New" w:eastAsia="Courier New" w:cs="Courier New"/>
          <w:sz w:val="18"/>
          <w:szCs w:val="18"/>
        </w:rPr>
        <w:t xml:space="preserve">    networks:</w:t>
      </w:r>
      <w:r>
        <w:rPr>
          <w:rFonts w:ascii="Courier New" w:hAnsi="Courier New" w:eastAsia="Courier New" w:cs="Courier New"/>
          <w:sz w:val="18"/>
          <w:szCs w:val="18"/>
        </w:rPr>
        <w:br w:type="textWrapping"/>
      </w:r>
      <w:r>
        <w:rPr>
          <w:rFonts w:ascii="Courier New" w:hAnsi="Courier New" w:eastAsia="Courier New" w:cs="Courier New"/>
          <w:sz w:val="18"/>
          <w:szCs w:val="18"/>
        </w:rPr>
        <w:t xml:space="preserve">      - smartcare-net</w:t>
      </w:r>
      <w:r>
        <w:rPr>
          <w:rFonts w:ascii="Courier New" w:hAnsi="Courier New" w:eastAsia="Courier New" w:cs="Courier New"/>
          <w:sz w:val="18"/>
          <w:szCs w:val="18"/>
        </w:rPr>
        <w:br w:type="textWrapping"/>
      </w:r>
      <w:r>
        <w:rPr>
          <w:rFonts w:ascii="Courier New" w:hAnsi="Courier New" w:eastAsia="Courier New" w:cs="Courier New"/>
          <w:sz w:val="18"/>
          <w:szCs w:val="18"/>
        </w:rPr>
        <w:br w:type="textWrapping"/>
      </w:r>
      <w:r>
        <w:rPr>
          <w:rFonts w:ascii="Courier New" w:hAnsi="Courier New" w:eastAsia="Courier New" w:cs="Courier New"/>
          <w:sz w:val="18"/>
          <w:szCs w:val="18"/>
        </w:rPr>
        <w:t xml:space="preserve">  db:</w:t>
      </w:r>
      <w:r>
        <w:rPr>
          <w:rFonts w:ascii="Courier New" w:hAnsi="Courier New" w:eastAsia="Courier New" w:cs="Courier New"/>
          <w:sz w:val="18"/>
          <w:szCs w:val="18"/>
        </w:rPr>
        <w:br w:type="textWrapping"/>
      </w:r>
      <w:r>
        <w:rPr>
          <w:rFonts w:ascii="Courier New" w:hAnsi="Courier New" w:eastAsia="Courier New" w:cs="Courier New"/>
          <w:sz w:val="18"/>
          <w:szCs w:val="18"/>
        </w:rPr>
        <w:t xml:space="preserve">    image: postgres:16-alpine</w:t>
      </w:r>
      <w:r>
        <w:rPr>
          <w:rFonts w:ascii="Courier New" w:hAnsi="Courier New" w:eastAsia="Courier New" w:cs="Courier New"/>
          <w:sz w:val="18"/>
          <w:szCs w:val="18"/>
        </w:rPr>
        <w:br w:type="textWrapping"/>
      </w:r>
      <w:r>
        <w:rPr>
          <w:rFonts w:ascii="Courier New" w:hAnsi="Courier New" w:eastAsia="Courier New" w:cs="Courier New"/>
          <w:sz w:val="18"/>
          <w:szCs w:val="18"/>
        </w:rPr>
        <w:t xml:space="preserve">    container_name: smartcare-db</w:t>
      </w:r>
      <w:r>
        <w:rPr>
          <w:rFonts w:ascii="Courier New" w:hAnsi="Courier New" w:eastAsia="Courier New" w:cs="Courier New"/>
          <w:sz w:val="18"/>
          <w:szCs w:val="18"/>
        </w:rPr>
        <w:br w:type="textWrapping"/>
      </w:r>
      <w:r>
        <w:rPr>
          <w:rFonts w:ascii="Courier New" w:hAnsi="Courier New" w:eastAsia="Courier New" w:cs="Courier New"/>
          <w:sz w:val="18"/>
          <w:szCs w:val="18"/>
        </w:rPr>
        <w:t xml:space="preserve">    restart: unless-stopped</w:t>
      </w:r>
      <w:r>
        <w:rPr>
          <w:rFonts w:ascii="Courier New" w:hAnsi="Courier New" w:eastAsia="Courier New" w:cs="Courier New"/>
          <w:sz w:val="18"/>
          <w:szCs w:val="18"/>
        </w:rPr>
        <w:br w:type="textWrapping"/>
      </w:r>
      <w:r>
        <w:rPr>
          <w:rFonts w:ascii="Courier New" w:hAnsi="Courier New" w:eastAsia="Courier New" w:cs="Courier New"/>
          <w:sz w:val="18"/>
          <w:szCs w:val="18"/>
        </w:rPr>
        <w:t xml:space="preserve">    environment:</w:t>
      </w:r>
      <w:r>
        <w:rPr>
          <w:rFonts w:ascii="Courier New" w:hAnsi="Courier New" w:eastAsia="Courier New" w:cs="Courier New"/>
          <w:sz w:val="18"/>
          <w:szCs w:val="18"/>
        </w:rPr>
        <w:br w:type="textWrapping"/>
      </w:r>
      <w:r>
        <w:rPr>
          <w:rFonts w:ascii="Courier New" w:hAnsi="Courier New" w:eastAsia="Courier New" w:cs="Courier New"/>
          <w:sz w:val="18"/>
          <w:szCs w:val="18"/>
        </w:rPr>
        <w:t xml:space="preserve">      - POSTGRES_USER=${POSTGRES_USER}</w:t>
      </w:r>
      <w:r>
        <w:rPr>
          <w:rFonts w:ascii="Courier New" w:hAnsi="Courier New" w:eastAsia="Courier New" w:cs="Courier New"/>
          <w:sz w:val="18"/>
          <w:szCs w:val="18"/>
        </w:rPr>
        <w:br w:type="textWrapping"/>
      </w:r>
      <w:r>
        <w:rPr>
          <w:rFonts w:ascii="Courier New" w:hAnsi="Courier New" w:eastAsia="Courier New" w:cs="Courier New"/>
          <w:sz w:val="18"/>
          <w:szCs w:val="18"/>
        </w:rPr>
        <w:t xml:space="preserve">      - POSTGRES_PASSWORD=${POSTGRES_PASSWORD}</w:t>
      </w:r>
      <w:r>
        <w:rPr>
          <w:rFonts w:ascii="Courier New" w:hAnsi="Courier New" w:eastAsia="Courier New" w:cs="Courier New"/>
          <w:sz w:val="18"/>
          <w:szCs w:val="18"/>
        </w:rPr>
        <w:br w:type="textWrapping"/>
      </w:r>
      <w:r>
        <w:rPr>
          <w:rFonts w:ascii="Courier New" w:hAnsi="Courier New" w:eastAsia="Courier New" w:cs="Courier New"/>
          <w:sz w:val="18"/>
          <w:szCs w:val="18"/>
        </w:rPr>
        <w:t xml:space="preserve">      - POSTGRES_DB=${POSTGRES_DB}</w:t>
      </w:r>
      <w:r>
        <w:rPr>
          <w:rFonts w:ascii="Courier New" w:hAnsi="Courier New" w:eastAsia="Courier New" w:cs="Courier New"/>
          <w:sz w:val="18"/>
          <w:szCs w:val="18"/>
        </w:rPr>
        <w:br w:type="textWrapping"/>
      </w:r>
      <w:r>
        <w:rPr>
          <w:rFonts w:ascii="Courier New" w:hAnsi="Courier New" w:eastAsia="Courier New" w:cs="Courier New"/>
          <w:sz w:val="18"/>
          <w:szCs w:val="18"/>
        </w:rPr>
        <w:t xml:space="preserve">    volumes:</w:t>
      </w:r>
      <w:r>
        <w:rPr>
          <w:rFonts w:ascii="Courier New" w:hAnsi="Courier New" w:eastAsia="Courier New" w:cs="Courier New"/>
          <w:sz w:val="18"/>
          <w:szCs w:val="18"/>
        </w:rPr>
        <w:br w:type="textWrapping"/>
      </w:r>
      <w:r>
        <w:rPr>
          <w:rFonts w:ascii="Courier New" w:hAnsi="Courier New" w:eastAsia="Courier New" w:cs="Courier New"/>
          <w:sz w:val="18"/>
          <w:szCs w:val="18"/>
        </w:rPr>
        <w:t xml:space="preserve">      - postgres_data:/var/lib/postgresql/data</w:t>
      </w:r>
      <w:r>
        <w:rPr>
          <w:rFonts w:ascii="Courier New" w:hAnsi="Courier New" w:eastAsia="Courier New" w:cs="Courier New"/>
          <w:sz w:val="18"/>
          <w:szCs w:val="18"/>
        </w:rPr>
        <w:br w:type="textWrapping"/>
      </w:r>
      <w:r>
        <w:rPr>
          <w:rFonts w:ascii="Courier New" w:hAnsi="Courier New" w:eastAsia="Courier New" w:cs="Courier New"/>
          <w:sz w:val="18"/>
          <w:szCs w:val="18"/>
        </w:rPr>
        <w:t xml:space="preserve">    healthcheck:</w:t>
      </w:r>
      <w:r>
        <w:rPr>
          <w:rFonts w:ascii="Courier New" w:hAnsi="Courier New" w:eastAsia="Courier New" w:cs="Courier New"/>
          <w:sz w:val="18"/>
          <w:szCs w:val="18"/>
        </w:rPr>
        <w:br w:type="textWrapping"/>
      </w:r>
      <w:r>
        <w:rPr>
          <w:rFonts w:ascii="Courier New" w:hAnsi="Courier New" w:eastAsia="Courier New" w:cs="Courier New"/>
          <w:sz w:val="18"/>
          <w:szCs w:val="18"/>
        </w:rPr>
        <w:t xml:space="preserve">      test: ["CMD-SHELL", "pg_isready -U ${POSTGRES_USER} -d ${POSTGRES_DB}"]</w:t>
      </w:r>
      <w:r>
        <w:rPr>
          <w:rFonts w:ascii="Courier New" w:hAnsi="Courier New" w:eastAsia="Courier New" w:cs="Courier New"/>
          <w:sz w:val="18"/>
          <w:szCs w:val="18"/>
        </w:rPr>
        <w:br w:type="textWrapping"/>
      </w:r>
      <w:r>
        <w:rPr>
          <w:rFonts w:ascii="Courier New" w:hAnsi="Courier New" w:eastAsia="Courier New" w:cs="Courier New"/>
          <w:sz w:val="18"/>
          <w:szCs w:val="18"/>
        </w:rPr>
        <w:t xml:space="preserve">      interval: 10s</w:t>
      </w:r>
      <w:r>
        <w:rPr>
          <w:rFonts w:ascii="Courier New" w:hAnsi="Courier New" w:eastAsia="Courier New" w:cs="Courier New"/>
          <w:sz w:val="18"/>
          <w:szCs w:val="18"/>
        </w:rPr>
        <w:br w:type="textWrapping"/>
      </w:r>
      <w:r>
        <w:rPr>
          <w:rFonts w:ascii="Courier New" w:hAnsi="Courier New" w:eastAsia="Courier New" w:cs="Courier New"/>
          <w:sz w:val="18"/>
          <w:szCs w:val="18"/>
        </w:rPr>
        <w:t xml:space="preserve">      timeout: 5s</w:t>
      </w:r>
      <w:r>
        <w:rPr>
          <w:rFonts w:ascii="Courier New" w:hAnsi="Courier New" w:eastAsia="Courier New" w:cs="Courier New"/>
          <w:sz w:val="18"/>
          <w:szCs w:val="18"/>
        </w:rPr>
        <w:br w:type="textWrapping"/>
      </w:r>
      <w:r>
        <w:rPr>
          <w:rFonts w:ascii="Courier New" w:hAnsi="Courier New" w:eastAsia="Courier New" w:cs="Courier New"/>
          <w:sz w:val="18"/>
          <w:szCs w:val="18"/>
        </w:rPr>
        <w:t xml:space="preserve">      retries: 5</w:t>
      </w:r>
      <w:r>
        <w:rPr>
          <w:rFonts w:ascii="Courier New" w:hAnsi="Courier New" w:eastAsia="Courier New" w:cs="Courier New"/>
          <w:sz w:val="18"/>
          <w:szCs w:val="18"/>
        </w:rPr>
        <w:br w:type="textWrapping"/>
      </w:r>
      <w:r>
        <w:rPr>
          <w:rFonts w:ascii="Courier New" w:hAnsi="Courier New" w:eastAsia="Courier New" w:cs="Courier New"/>
          <w:sz w:val="18"/>
          <w:szCs w:val="18"/>
        </w:rPr>
        <w:t xml:space="preserve">    networks:</w:t>
      </w:r>
      <w:r>
        <w:rPr>
          <w:rFonts w:ascii="Courier New" w:hAnsi="Courier New" w:eastAsia="Courier New" w:cs="Courier New"/>
          <w:sz w:val="18"/>
          <w:szCs w:val="18"/>
        </w:rPr>
        <w:br w:type="textWrapping"/>
      </w:r>
      <w:r>
        <w:rPr>
          <w:rFonts w:ascii="Courier New" w:hAnsi="Courier New" w:eastAsia="Courier New" w:cs="Courier New"/>
          <w:sz w:val="18"/>
          <w:szCs w:val="18"/>
        </w:rPr>
        <w:t xml:space="preserve">      - smartcare-net</w:t>
      </w:r>
      <w:r>
        <w:rPr>
          <w:rFonts w:ascii="Courier New" w:hAnsi="Courier New" w:eastAsia="Courier New" w:cs="Courier New"/>
          <w:sz w:val="18"/>
          <w:szCs w:val="18"/>
        </w:rPr>
        <w:br w:type="textWrapping"/>
      </w:r>
      <w:r>
        <w:rPr>
          <w:rFonts w:ascii="Courier New" w:hAnsi="Courier New" w:eastAsia="Courier New" w:cs="Courier New"/>
          <w:sz w:val="18"/>
          <w:szCs w:val="18"/>
        </w:rPr>
        <w:br w:type="textWrapping"/>
      </w:r>
      <w:r>
        <w:rPr>
          <w:rFonts w:ascii="Courier New" w:hAnsi="Courier New" w:eastAsia="Courier New" w:cs="Courier New"/>
          <w:sz w:val="18"/>
          <w:szCs w:val="18"/>
        </w:rPr>
        <w:t>volumes:</w:t>
      </w:r>
      <w:r>
        <w:rPr>
          <w:rFonts w:ascii="Courier New" w:hAnsi="Courier New" w:eastAsia="Courier New" w:cs="Courier New"/>
          <w:sz w:val="18"/>
          <w:szCs w:val="18"/>
        </w:rPr>
        <w:br w:type="textWrapping"/>
      </w:r>
      <w:r>
        <w:rPr>
          <w:rFonts w:ascii="Courier New" w:hAnsi="Courier New" w:eastAsia="Courier New" w:cs="Courier New"/>
          <w:sz w:val="18"/>
          <w:szCs w:val="18"/>
        </w:rPr>
        <w:t xml:space="preserve">  postgres_data:</w:t>
      </w:r>
      <w:r>
        <w:rPr>
          <w:rFonts w:ascii="Courier New" w:hAnsi="Courier New" w:eastAsia="Courier New" w:cs="Courier New"/>
          <w:sz w:val="18"/>
          <w:szCs w:val="18"/>
        </w:rPr>
        <w:br w:type="textWrapping"/>
      </w:r>
      <w:r>
        <w:rPr>
          <w:rFonts w:ascii="Courier New" w:hAnsi="Courier New" w:eastAsia="Courier New" w:cs="Courier New"/>
          <w:sz w:val="18"/>
          <w:szCs w:val="18"/>
        </w:rPr>
        <w:br w:type="textWrapping"/>
      </w:r>
      <w:r>
        <w:rPr>
          <w:rFonts w:ascii="Courier New" w:hAnsi="Courier New" w:eastAsia="Courier New" w:cs="Courier New"/>
          <w:sz w:val="18"/>
          <w:szCs w:val="18"/>
        </w:rPr>
        <w:t>networks:</w:t>
      </w:r>
      <w:r>
        <w:rPr>
          <w:rFonts w:ascii="Courier New" w:hAnsi="Courier New" w:eastAsia="Courier New" w:cs="Courier New"/>
          <w:sz w:val="18"/>
          <w:szCs w:val="18"/>
        </w:rPr>
        <w:br w:type="textWrapping"/>
      </w:r>
      <w:r>
        <w:rPr>
          <w:rFonts w:ascii="Courier New" w:hAnsi="Courier New" w:eastAsia="Courier New" w:cs="Courier New"/>
          <w:sz w:val="18"/>
          <w:szCs w:val="18"/>
        </w:rPr>
        <w:t xml:space="preserve">  smartcare-net:</w:t>
      </w:r>
      <w:r>
        <w:rPr>
          <w:rFonts w:ascii="Courier New" w:hAnsi="Courier New" w:eastAsia="Courier New" w:cs="Courier New"/>
          <w:sz w:val="18"/>
          <w:szCs w:val="18"/>
        </w:rPr>
        <w:br w:type="textWrapping"/>
      </w:r>
      <w:r>
        <w:rPr>
          <w:rFonts w:ascii="Courier New" w:hAnsi="Courier New" w:eastAsia="Courier New" w:cs="Courier New"/>
          <w:sz w:val="18"/>
          <w:szCs w:val="18"/>
        </w:rPr>
        <w:t xml:space="preserve">    driver: bridge</w:t>
      </w:r>
    </w:p>
    <w:p>
      <w:pPr>
        <w:pStyle w:val="3"/>
        <w:spacing w:before="260" w:after="120"/>
        <w:rPr>
          <w:rFonts w:hint="default" w:ascii="Times New Roman" w:hAnsi="Times New Roman" w:cs="Times New Roman"/>
          <w:b/>
          <w:bCs/>
          <w:color w:val="000000" w:themeColor="text1"/>
          <w:sz w:val="32"/>
          <w:szCs w:val="32"/>
          <w14:textFill>
            <w14:solidFill>
              <w14:schemeClr w14:val="tx1"/>
            </w14:solidFill>
          </w14:textFill>
        </w:rPr>
      </w:pPr>
    </w:p>
    <w:p>
      <w:pPr>
        <w:pStyle w:val="3"/>
        <w:spacing w:before="260" w:after="120"/>
        <w:rPr>
          <w:rFonts w:hint="default" w:ascii="Times New Roman" w:hAnsi="Times New Roman" w:cs="Times New Roman"/>
          <w:b/>
          <w:bCs/>
          <w:color w:val="000000" w:themeColor="text1"/>
          <w:sz w:val="32"/>
          <w:szCs w:val="32"/>
          <w14:textFill>
            <w14:solidFill>
              <w14:schemeClr w14:val="tx1"/>
            </w14:solidFill>
          </w14:textFill>
        </w:rPr>
      </w:pPr>
    </w:p>
    <w:p>
      <w:pPr>
        <w:pStyle w:val="3"/>
        <w:spacing w:before="260" w:after="120"/>
        <w:rPr>
          <w:rFonts w:hint="default" w:ascii="Times New Roman" w:hAnsi="Times New Roman" w:cs="Times New Roman"/>
          <w:b/>
          <w:bCs/>
          <w:color w:val="000000" w:themeColor="text1"/>
          <w:sz w:val="32"/>
          <w:szCs w:val="32"/>
          <w14:textFill>
            <w14:solidFill>
              <w14:schemeClr w14:val="tx1"/>
            </w14:solidFill>
          </w14:textFill>
        </w:rPr>
      </w:pPr>
    </w:p>
    <w:p>
      <w:pPr>
        <w:pStyle w:val="3"/>
        <w:spacing w:before="260" w:after="120"/>
        <w:rPr>
          <w:rFonts w:hint="default" w:ascii="Times New Roman" w:hAnsi="Times New Roman" w:cs="Times New Roman"/>
          <w:b/>
          <w:bCs/>
          <w:color w:val="000000" w:themeColor="text1"/>
          <w:sz w:val="32"/>
          <w:szCs w:val="32"/>
          <w14:textFill>
            <w14:solidFill>
              <w14:schemeClr w14:val="tx1"/>
            </w14:solidFill>
          </w14:textFill>
        </w:rPr>
      </w:pPr>
    </w:p>
    <w:p>
      <w:pPr>
        <w:pStyle w:val="3"/>
        <w:spacing w:before="260" w:after="120"/>
        <w:rPr>
          <w:rFonts w:hint="default" w:ascii="Times New Roman" w:hAnsi="Times New Roman" w:cs="Times New Roman"/>
          <w:b/>
          <w:bCs/>
          <w:color w:val="000000" w:themeColor="text1"/>
          <w:sz w:val="32"/>
          <w:szCs w:val="32"/>
          <w14:textFill>
            <w14:solidFill>
              <w14:schemeClr w14:val="tx1"/>
            </w14:solidFill>
          </w14:textFill>
        </w:rPr>
      </w:pPr>
    </w:p>
    <w:p>
      <w:pPr>
        <w:pStyle w:val="3"/>
        <w:spacing w:before="260" w:after="120"/>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9.2 Architecture</w:t>
      </w:r>
    </w:p>
    <w:p>
      <w:pPr>
        <w:spacing w:before="120" w:after="60"/>
        <w:jc w:val="center"/>
      </w:pPr>
      <w:r>
        <w:drawing>
          <wp:inline distT="0" distB="0" distL="0" distR="0">
            <wp:extent cx="4762500" cy="364934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9"/>
                    <a:srcRect/>
                    <a:stretch>
                      <a:fillRect/>
                    </a:stretch>
                  </pic:blipFill>
                  <pic:spPr>
                    <a:xfrm>
                      <a:off x="0" y="0"/>
                      <a:ext cx="4762500" cy="3649963"/>
                    </a:xfrm>
                    <a:prstGeom prst="rect">
                      <a:avLst/>
                    </a:prstGeom>
                  </pic:spPr>
                </pic:pic>
              </a:graphicData>
            </a:graphic>
          </wp:inline>
        </w:drawing>
      </w:r>
    </w:p>
    <w:p>
      <w:pPr>
        <w:spacing w:before="80" w:after="240"/>
        <w:jc w:val="center"/>
      </w:pPr>
      <w:r>
        <w:rPr>
          <w:i/>
          <w:iCs/>
          <w:color w:val="555555"/>
          <w:sz w:val="18"/>
          <w:szCs w:val="18"/>
        </w:rPr>
        <w:t>Figure 14: Docker Compose architecture — services, network, and volume</w:t>
      </w:r>
    </w:p>
    <w:p>
      <w:pPr>
        <w:pStyle w:val="3"/>
        <w:spacing w:before="260" w:after="120"/>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9.3 Services, Networking, Volumes, Environment Variables, and Dependencies</w:t>
      </w:r>
    </w:p>
    <w:p>
      <w:pPr>
        <w:spacing w:after="120" w:line="280" w:lineRule="auto"/>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 xml:space="preserve">Services: </w:t>
      </w:r>
      <w:r>
        <w:rPr>
          <w:rFonts w:hint="default" w:ascii="Times New Roman" w:hAnsi="Times New Roman" w:cs="Times New Roman"/>
          <w:color w:val="000000" w:themeColor="text1"/>
          <w:sz w:val="32"/>
          <w:szCs w:val="32"/>
          <w14:textFill>
            <w14:solidFill>
              <w14:schemeClr w14:val="tx1"/>
            </w14:solidFill>
          </w14:textFill>
        </w:rPr>
        <w:t>api (the FastAPI application, built from the local Dockerfile) and db (PostgreSQL 16, pulled from Docker Hub) — two independently restartable containers defined in one file.</w:t>
      </w:r>
    </w:p>
    <w:p>
      <w:pPr>
        <w:spacing w:after="120" w:line="280" w:lineRule="auto"/>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 xml:space="preserve">Networking: </w:t>
      </w:r>
      <w:r>
        <w:rPr>
          <w:rFonts w:hint="default" w:ascii="Times New Roman" w:hAnsi="Times New Roman" w:cs="Times New Roman"/>
          <w:color w:val="000000" w:themeColor="text1"/>
          <w:sz w:val="32"/>
          <w:szCs w:val="32"/>
          <w14:textFill>
            <w14:solidFill>
              <w14:schemeClr w14:val="tx1"/>
            </w14:solidFill>
          </w14:textFill>
        </w:rPr>
        <w:t>both services join the smartcare-net bridge network, so the API reaches the database using the hostname db rather than a hard-coded IP address; only the API's port is published to the host.</w:t>
      </w:r>
    </w:p>
    <w:p>
      <w:pPr>
        <w:spacing w:after="120" w:line="280" w:lineRule="auto"/>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 xml:space="preserve">Volumes: </w:t>
      </w:r>
      <w:r>
        <w:rPr>
          <w:rFonts w:hint="default" w:ascii="Times New Roman" w:hAnsi="Times New Roman" w:cs="Times New Roman"/>
          <w:color w:val="000000" w:themeColor="text1"/>
          <w:sz w:val="32"/>
          <w:szCs w:val="32"/>
          <w14:textFill>
            <w14:solidFill>
              <w14:schemeClr w14:val="tx1"/>
            </w14:solidFill>
          </w14:textFill>
        </w:rPr>
        <w:t>a named volume, postgres_data, is mounted into the database container so table data persists across `docker compose down`/`up` cycles instead of being lost when the container is removed.</w:t>
      </w:r>
    </w:p>
    <w:p>
      <w:pPr>
        <w:spacing w:after="120" w:line="280" w:lineRule="auto"/>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 xml:space="preserve">Environment variables: </w:t>
      </w:r>
      <w:r>
        <w:rPr>
          <w:rFonts w:hint="default" w:ascii="Times New Roman" w:hAnsi="Times New Roman" w:cs="Times New Roman"/>
          <w:color w:val="000000" w:themeColor="text1"/>
          <w:sz w:val="32"/>
          <w:szCs w:val="32"/>
          <w14:textFill>
            <w14:solidFill>
              <w14:schemeClr w14:val="tx1"/>
            </w14:solidFill>
          </w14:textFill>
        </w:rPr>
        <w:t>DATABASE_URL, POSTGRES_USER, POSTGRES_PASSWORD, and POSTGRES_DB are injected from a local .env file (based on .env.example) rather than hard-coded, keeping credentials out of version control.</w:t>
      </w:r>
    </w:p>
    <w:p>
      <w:pPr>
        <w:spacing w:after="120" w:line="280" w:lineRule="auto"/>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 xml:space="preserve">Dependencies: </w:t>
      </w:r>
      <w:r>
        <w:rPr>
          <w:rFonts w:hint="default" w:ascii="Times New Roman" w:hAnsi="Times New Roman" w:cs="Times New Roman"/>
          <w:color w:val="000000" w:themeColor="text1"/>
          <w:sz w:val="32"/>
          <w:szCs w:val="32"/>
          <w14:textFill>
            <w14:solidFill>
              <w14:schemeClr w14:val="tx1"/>
            </w14:solidFill>
          </w14:textFill>
        </w:rPr>
        <w:t>depends_on with condition: service_healthy ensures the API container does not start until PostgreSQL's healthcheck (pg_isready) passes, avoiding connection errors on a cold start.</w:t>
      </w:r>
    </w:p>
    <w:p>
      <w:pPr>
        <w:numPr>
          <w:ilvl w:val="0"/>
          <w:numId w:val="2"/>
        </w:numPr>
        <w:rPr>
          <w:rFonts w:hint="default" w:ascii="Times New Roman" w:hAnsi="Times New Roman" w:cs="Times New Roman"/>
          <w:b/>
          <w:bCs/>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Container Deployment and Testing</w:t>
      </w:r>
    </w:p>
    <w:p>
      <w:pPr>
        <w:numPr>
          <w:numId w:val="0"/>
        </w:numPr>
        <w:rPr>
          <w:rFonts w:hint="default" w:ascii="Times New Roman" w:hAnsi="Times New Roman" w:cs="Times New Roman"/>
          <w:b/>
          <w:bCs/>
          <w:color w:val="000000" w:themeColor="text1"/>
          <w:sz w:val="32"/>
          <w:szCs w:val="32"/>
          <w14:textFill>
            <w14:solidFill>
              <w14:schemeClr w14:val="tx1"/>
            </w14:solidFill>
          </w14:textFill>
        </w:rPr>
      </w:pPr>
    </w:p>
    <w:p>
      <w:pPr>
        <w:spacing w:after="160" w:line="300" w:lineRule="auto"/>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The commands below show the exact sequence used to build and run the application via Docker Compose. Because the assignment sandbox used to prepare this report has no Docker daemon available, the output shown is the expected, standard output for this Dockerfile/Compose configuration and is labelled accordingly — running `docker compose up --build` locally, as described in the README, will reproduce this sequence.</w:t>
      </w:r>
    </w:p>
    <w:p>
      <w:pPr>
        <w:spacing w:before="120" w:after="60"/>
        <w:jc w:val="center"/>
      </w:pPr>
      <w:r>
        <w:drawing>
          <wp:inline distT="0" distB="0" distL="0" distR="0">
            <wp:extent cx="5334000" cy="331978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20"/>
                    <a:srcRect/>
                    <a:stretch>
                      <a:fillRect/>
                    </a:stretch>
                  </pic:blipFill>
                  <pic:spPr>
                    <a:xfrm>
                      <a:off x="0" y="0"/>
                      <a:ext cx="5334000" cy="3320143"/>
                    </a:xfrm>
                    <a:prstGeom prst="rect">
                      <a:avLst/>
                    </a:prstGeom>
                  </pic:spPr>
                </pic:pic>
              </a:graphicData>
            </a:graphic>
          </wp:inline>
        </w:drawing>
      </w:r>
    </w:p>
    <w:p>
      <w:pPr>
        <w:spacing w:before="80" w:after="240"/>
        <w:jc w:val="center"/>
      </w:pPr>
      <w:r>
        <w:rPr>
          <w:i/>
          <w:iCs/>
          <w:color w:val="555555"/>
          <w:sz w:val="18"/>
          <w:szCs w:val="18"/>
        </w:rPr>
        <w:t>Figure 15: Expected output of `docker compose up --build`</w:t>
      </w:r>
    </w:p>
    <w:p>
      <w:pPr>
        <w:spacing w:before="120" w:after="60"/>
        <w:jc w:val="center"/>
      </w:pPr>
      <w:r>
        <w:drawing>
          <wp:inline distT="0" distB="0" distL="0" distR="0">
            <wp:extent cx="5334000" cy="331978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21"/>
                    <a:srcRect/>
                    <a:stretch>
                      <a:fillRect/>
                    </a:stretch>
                  </pic:blipFill>
                  <pic:spPr>
                    <a:xfrm>
                      <a:off x="0" y="0"/>
                      <a:ext cx="5334000" cy="3320143"/>
                    </a:xfrm>
                    <a:prstGeom prst="rect">
                      <a:avLst/>
                    </a:prstGeom>
                  </pic:spPr>
                </pic:pic>
              </a:graphicData>
            </a:graphic>
          </wp:inline>
        </w:drawing>
      </w:r>
    </w:p>
    <w:p>
      <w:pPr>
        <w:spacing w:before="80" w:after="240"/>
        <w:jc w:val="center"/>
      </w:pPr>
      <w:r>
        <w:rPr>
          <w:i/>
          <w:iCs/>
          <w:color w:val="555555"/>
          <w:sz w:val="18"/>
          <w:szCs w:val="18"/>
        </w:rPr>
        <w:t>Figure 16: Expected container health check and API smoke test</w:t>
      </w:r>
    </w:p>
    <w:p>
      <w:pPr>
        <w:pStyle w:val="3"/>
        <w:spacing w:before="260" w:after="120"/>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10.1 Testing Procedure</w:t>
      </w:r>
    </w:p>
    <w:p>
      <w:pPr>
        <w:pStyle w:val="16"/>
        <w:numPr>
          <w:ilvl w:val="0"/>
          <w:numId w:val="1"/>
        </w:numPr>
        <w:spacing w:after="80" w:line="280" w:lineRule="auto"/>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Run `docker compose ps` and confirm both containers report a healthy status.</w:t>
      </w:r>
    </w:p>
    <w:p>
      <w:pPr>
        <w:pStyle w:val="16"/>
        <w:numPr>
          <w:ilvl w:val="0"/>
          <w:numId w:val="1"/>
        </w:numPr>
        <w:spacing w:after="80" w:line="280" w:lineRule="auto"/>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Call GET /health and confirm a 200 response with {"status": "ok"}.</w:t>
      </w:r>
    </w:p>
    <w:p>
      <w:pPr>
        <w:pStyle w:val="16"/>
        <w:numPr>
          <w:ilvl w:val="0"/>
          <w:numId w:val="1"/>
        </w:numPr>
        <w:spacing w:after="80" w:line="280" w:lineRule="auto"/>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Call POST /api/v1/assets/ with a sample asset payload and confirm the record is created and returned with status "available".</w:t>
      </w:r>
    </w:p>
    <w:p>
      <w:pPr>
        <w:pStyle w:val="16"/>
        <w:numPr>
          <w:ilvl w:val="0"/>
          <w:numId w:val="1"/>
        </w:numPr>
        <w:spacing w:after="80" w:line="280" w:lineRule="auto"/>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Call POST /api/v1/telemetry/telemetry with a battery_level below 15% for that tracking ID and confirm the response reports low_battery_alert: true and status "maintenance_required".</w:t>
      </w:r>
    </w:p>
    <w:p>
      <w:pPr>
        <w:pStyle w:val="16"/>
        <w:numPr>
          <w:ilvl w:val="0"/>
          <w:numId w:val="1"/>
        </w:numPr>
        <w:spacing w:after="80" w:line="280" w:lineRule="auto"/>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Run the Pytest suite (`pytest`) inside the container or against a local virtual environment to confirm the automated tests pass.</w:t>
      </w:r>
    </w:p>
    <w:p>
      <w:r>
        <w:br w:type="page"/>
      </w:r>
    </w:p>
    <w:p>
      <w:pPr>
        <w:pStyle w:val="2"/>
        <w:spacing w:before="360" w:after="180"/>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11. Benefits of Git and Docker</w:t>
      </w:r>
    </w:p>
    <w:p>
      <w:pPr>
        <w:spacing w:after="120" w:line="280" w:lineRule="auto"/>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 xml:space="preserve">Collaboration: </w:t>
      </w:r>
      <w:r>
        <w:rPr>
          <w:rFonts w:hint="default" w:ascii="Times New Roman" w:hAnsi="Times New Roman" w:cs="Times New Roman"/>
          <w:color w:val="000000" w:themeColor="text1"/>
          <w:sz w:val="32"/>
          <w:szCs w:val="32"/>
          <w14:textFill>
            <w14:solidFill>
              <w14:schemeClr w14:val="tx1"/>
            </w14:solidFill>
          </w14:textFill>
        </w:rPr>
        <w:t>feature branches let multiple contributors (or the same contributor working on multiple concerns) work in parallel without blocking each other, merging through develop only once each piece is complete.</w:t>
      </w:r>
    </w:p>
    <w:p>
      <w:pPr>
        <w:spacing w:after="120" w:line="280" w:lineRule="auto"/>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 xml:space="preserve">Version management: </w:t>
      </w:r>
      <w:r>
        <w:rPr>
          <w:rFonts w:hint="default" w:ascii="Times New Roman" w:hAnsi="Times New Roman" w:cs="Times New Roman"/>
          <w:color w:val="000000" w:themeColor="text1"/>
          <w:sz w:val="32"/>
          <w:szCs w:val="32"/>
          <w14:textFill>
            <w14:solidFill>
              <w14:schemeClr w14:val="tx1"/>
            </w14:solidFill>
          </w14:textFill>
        </w:rPr>
        <w:t>annotated tags (v1.0.0, v1.0.1) and a readable commit history give an exact, auditable record of what changed and when — essential for a system touching hospital operations.</w:t>
      </w:r>
    </w:p>
    <w:p>
      <w:pPr>
        <w:spacing w:after="120" w:line="280" w:lineRule="auto"/>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 xml:space="preserve">Portability: </w:t>
      </w:r>
      <w:r>
        <w:rPr>
          <w:rFonts w:hint="default" w:ascii="Times New Roman" w:hAnsi="Times New Roman" w:cs="Times New Roman"/>
          <w:color w:val="000000" w:themeColor="text1"/>
          <w:sz w:val="32"/>
          <w:szCs w:val="32"/>
          <w14:textFill>
            <w14:solidFill>
              <w14:schemeClr w14:val="tx1"/>
            </w14:solidFill>
          </w14:textFill>
        </w:rPr>
        <w:t>the Docker image runs identically on a developer laptop, a CI runner, or a hospital's on-premises server, removing environment-specific bugs.</w:t>
      </w:r>
    </w:p>
    <w:p>
      <w:pPr>
        <w:spacing w:after="120" w:line="280" w:lineRule="auto"/>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 xml:space="preserve">Deployment: </w:t>
      </w:r>
      <w:r>
        <w:rPr>
          <w:rFonts w:hint="default" w:ascii="Times New Roman" w:hAnsi="Times New Roman" w:cs="Times New Roman"/>
          <w:color w:val="000000" w:themeColor="text1"/>
          <w:sz w:val="32"/>
          <w:szCs w:val="32"/>
          <w14:textFill>
            <w14:solidFill>
              <w14:schemeClr w14:val="tx1"/>
            </w14:solidFill>
          </w14:textFill>
        </w:rPr>
        <w:t>a single `docker compose up` command starts the entire stack (API + database) with correct networking and startup ordering already encoded in docker-compose.yml.</w:t>
      </w:r>
    </w:p>
    <w:p>
      <w:pPr>
        <w:spacing w:after="120" w:line="280" w:lineRule="auto"/>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 xml:space="preserve">Scalability: </w:t>
      </w:r>
      <w:r>
        <w:rPr>
          <w:rFonts w:hint="default" w:ascii="Times New Roman" w:hAnsi="Times New Roman" w:cs="Times New Roman"/>
          <w:color w:val="000000" w:themeColor="text1"/>
          <w:sz w:val="32"/>
          <w:szCs w:val="32"/>
          <w14:textFill>
            <w14:solidFill>
              <w14:schemeClr w14:val="tx1"/>
            </w14:solidFill>
          </w14:textFill>
        </w:rPr>
        <w:t>because the API is stateless and containerized, additional API replicas can be added behind a load balancer without changing the application code; the database remains the one stateful component with a persistent volume.</w:t>
      </w:r>
    </w:p>
    <w:p>
      <w:pPr>
        <w:spacing w:after="120" w:line="280" w:lineRule="auto"/>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 xml:space="preserve">Maintainability: </w:t>
      </w:r>
      <w:r>
        <w:rPr>
          <w:rFonts w:hint="default" w:ascii="Times New Roman" w:hAnsi="Times New Roman" w:cs="Times New Roman"/>
          <w:color w:val="000000" w:themeColor="text1"/>
          <w:sz w:val="32"/>
          <w:szCs w:val="32"/>
          <w14:textFill>
            <w14:solidFill>
              <w14:schemeClr w14:val="tx1"/>
            </w14:solidFill>
          </w14:textFill>
        </w:rPr>
        <w:t>the branching model isolates risk — a hotfix can reach production through its own short path without dragging in unrelated, half-finished develop work — while the Dockerfile's layer caching keeps rebuilds fast as the codebase grows.</w:t>
      </w:r>
    </w:p>
    <w:p>
      <w:r>
        <w:br w:type="page"/>
      </w:r>
    </w:p>
    <w:p>
      <w:pPr>
        <w:pStyle w:val="2"/>
        <w:spacing w:before="360" w:after="180"/>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12. Challenges and Improvements</w:t>
      </w:r>
    </w:p>
    <w:p>
      <w:pPr>
        <w:pStyle w:val="3"/>
        <w:spacing w:before="260" w:after="120"/>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12.1 Challenges Encountered</w:t>
      </w:r>
    </w:p>
    <w:p>
      <w:pPr>
        <w:pStyle w:val="16"/>
        <w:numPr>
          <w:ilvl w:val="0"/>
          <w:numId w:val="1"/>
        </w:numPr>
        <w:spacing w:after="80" w:line="280" w:lineRule="auto"/>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Merge conflicts on shared documentation files (README.md) when two feature branches edited the same section concurrently — resolved manually as shown in Section 5.2, but avoidable with clearer section ownership.</w:t>
      </w:r>
    </w:p>
    <w:p>
      <w:pPr>
        <w:pStyle w:val="16"/>
        <w:numPr>
          <w:ilvl w:val="0"/>
          <w:numId w:val="1"/>
        </w:numPr>
        <w:spacing w:after="80" w:line="280" w:lineRule="auto"/>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Choosing a safe low-battery threshold required a follow-up hotfix once the initial 20% cutoff proved too aggressive in practice — illustrating why staging/testing environments matter before values like this reach production.</w:t>
      </w:r>
    </w:p>
    <w:p>
      <w:pPr>
        <w:pStyle w:val="16"/>
        <w:numPr>
          <w:ilvl w:val="0"/>
          <w:numId w:val="1"/>
        </w:numPr>
        <w:spacing w:after="80" w:line="280" w:lineRule="auto"/>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Coordinating environment variables safely: ensuring .env is never committed while still keeping .env.example current for every teammate required discipline enforced through .gitignore rather than tooling.</w:t>
      </w:r>
    </w:p>
    <w:p>
      <w:pPr>
        <w:pStyle w:val="16"/>
        <w:numPr>
          <w:ilvl w:val="0"/>
          <w:numId w:val="1"/>
        </w:numPr>
        <w:spacing w:after="80" w:line="280" w:lineRule="auto"/>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No local Docker daemon was available in the environment used to prepare this report, so container build/run evidence in Section 10 is documented as expected output rather than a captured live screenshot; the student should reproduce these steps locally to capture first-hand screenshots for final submission.</w:t>
      </w:r>
    </w:p>
    <w:p>
      <w:pPr>
        <w:pStyle w:val="3"/>
        <w:spacing w:before="260" w:after="120"/>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12.2 Possible Improvements and Future Enhancements</w:t>
      </w:r>
    </w:p>
    <w:p>
      <w:pPr>
        <w:pStyle w:val="16"/>
        <w:numPr>
          <w:ilvl w:val="0"/>
          <w:numId w:val="1"/>
        </w:numPr>
        <w:spacing w:after="80" w:line="280" w:lineRule="auto"/>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Add a CI pipeline (e.g., GitHub Actions) that runs the Pytest suite and builds the Docker image automatically on every pull request into develop.</w:t>
      </w:r>
    </w:p>
    <w:p>
      <w:pPr>
        <w:pStyle w:val="16"/>
        <w:numPr>
          <w:ilvl w:val="0"/>
          <w:numId w:val="1"/>
        </w:numPr>
        <w:spacing w:after="80" w:line="280" w:lineRule="auto"/>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Introduce Alembic migrations for schema changes instead of relying on SQLAlchemy's implicit table creation, so schema evolution is explicit and versioned.</w:t>
      </w:r>
    </w:p>
    <w:p>
      <w:pPr>
        <w:pStyle w:val="16"/>
        <w:numPr>
          <w:ilvl w:val="0"/>
          <w:numId w:val="1"/>
        </w:numPr>
        <w:spacing w:after="80" w:line="280" w:lineRule="auto"/>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Add branch-protection rules on main and develop requiring passing CI checks and at least one review before merge.</w:t>
      </w:r>
    </w:p>
    <w:p>
      <w:pPr>
        <w:pStyle w:val="16"/>
        <w:numPr>
          <w:ilvl w:val="0"/>
          <w:numId w:val="1"/>
        </w:numPr>
        <w:spacing w:after="80" w:line="280" w:lineRule="auto"/>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Extend docker-compose.yml with a reverse proxy (e.g., Nginx or Traefik) and TLS termination for a production-realistic deployment.</w:t>
      </w:r>
    </w:p>
    <w:p>
      <w:pPr>
        <w:pStyle w:val="16"/>
        <w:numPr>
          <w:numId w:val="0"/>
        </w:numPr>
        <w:spacing w:after="80" w:line="280" w:lineRule="auto"/>
        <w:rPr>
          <w:rFonts w:hint="default" w:ascii="Times New Roman" w:hAnsi="Times New Roman" w:cs="Times New Roman"/>
          <w:color w:val="000000" w:themeColor="text1"/>
          <w:sz w:val="32"/>
          <w:szCs w:val="32"/>
          <w14:textFill>
            <w14:solidFill>
              <w14:schemeClr w14:val="tx1"/>
            </w14:solidFill>
          </w14:textFill>
        </w:rPr>
      </w:pPr>
      <w:bookmarkStart w:id="0" w:name="_GoBack"/>
      <w:bookmarkEnd w:id="0"/>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7A87" w:usb1="80000000" w:usb2="00000008"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DejaVu Sans">
    <w:panose1 w:val="020B0603030804020204"/>
    <w:charset w:val="00"/>
    <w:family w:val="auto"/>
    <w:pitch w:val="default"/>
    <w:sig w:usb0="E7006EFF" w:usb1="D200FDFF" w:usb2="0A246029" w:usb3="0400200C" w:csb0="600001FF" w:csb1="D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17EC6B3"/>
    <w:multiLevelType w:val="singleLevel"/>
    <w:tmpl w:val="E17EC6B3"/>
    <w:lvl w:ilvl="0" w:tentative="0">
      <w:start w:val="1"/>
      <w:numFmt w:val="bullet"/>
      <w:lvlText w:val="•"/>
      <w:lvlJc w:val="left"/>
      <w:pPr>
        <w:ind w:left="460" w:hanging="260"/>
      </w:pPr>
    </w:lvl>
  </w:abstractNum>
  <w:abstractNum w:abstractNumId="1">
    <w:nsid w:val="FBFEFD46"/>
    <w:multiLevelType w:val="singleLevel"/>
    <w:tmpl w:val="FBFEFD46"/>
    <w:lvl w:ilvl="0" w:tentative="0">
      <w:start w:val="10"/>
      <w:numFmt w:val="decimal"/>
      <w:suff w:val="space"/>
      <w:lvlText w:val="%1."/>
      <w:lvlJc w:val="left"/>
    </w:lvl>
  </w:abstractNum>
  <w:num w:numId="1">
    <w:abstractNumId w:val="0"/>
    <w:lvlOverride w:ilvl="0">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5F09724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sz w:val="20"/>
      <w:szCs w:val="20"/>
    </w:rPr>
  </w:style>
  <w:style w:type="character" w:styleId="14">
    <w:name w:val="Hyperlink"/>
    <w:unhideWhenUsed/>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19</TotalTime>
  <ScaleCrop>false</ScaleCrop>
  <LinksUpToDate>false</LinksUpToDate>
  <Application>WPS Office_11.1.0.11733_F1E327BC-269C-435d-A152-05C5408002CA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Un-named</dc:creator>
  <cp:lastModifiedBy>kaito</cp:lastModifiedBy>
  <dcterms:modified xsi:type="dcterms:W3CDTF">2026-08-10T10:53:54Z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1033-11.1.0.11733</vt:lpwstr>
  </property>
</Properties>
</file>