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E-COMMERCE SALES ANALYSIS REPORT</w:t>
      </w:r>
    </w:p>
    <w:p>
      <w:r>
        <w:rPr>
          <w:sz w:val="24"/>
        </w:rPr>
        <w:t>Comprehensive Performance Insights • Sales • Profitability • Customer &amp; Market Analysis</w:t>
        <w:br/>
      </w:r>
    </w:p>
    <w:p>
      <w:pPr>
        <w:pStyle w:val="Heading2"/>
      </w:pPr>
      <w:r>
        <w:t>1. Executive Summary</w:t>
      </w:r>
    </w:p>
    <w:p>
      <w:r>
        <w:rPr>
          <w:sz w:val="22"/>
        </w:rPr>
        <w:t>This report presents an in-depth analysis of the company's e-commerce performance across multiple regions, markets, product categories, and customer segments for the period 2016–2017. The organization generated approximately 26.47M in total sales and 2.50M in overall profit. While revenue showcased steady growth, profit margins showed slight decline, indicating operational inefficiencies and product-level margin pressure.</w:t>
      </w:r>
    </w:p>
    <w:p>
      <w:pPr>
        <w:pStyle w:val="Heading2"/>
      </w:pPr>
      <w:r>
        <w:t>2. Problem Statement</w:t>
      </w:r>
    </w:p>
    <w:p>
      <w:pPr>
        <w:pStyle w:val="ListBullet"/>
      </w:pPr>
      <w:r>
        <w:rPr>
          <w:sz w:val="22"/>
        </w:rPr>
        <w:t>Lack of a centralized dashboard to monitor sales, profit, order flow, and customer distribution.</w:t>
      </w:r>
    </w:p>
    <w:p>
      <w:pPr>
        <w:pStyle w:val="ListBullet"/>
      </w:pPr>
      <w:r>
        <w:rPr>
          <w:sz w:val="22"/>
        </w:rPr>
        <w:t>Limited visibility into performance across markets, countries, regions, and product categories.</w:t>
      </w:r>
    </w:p>
    <w:p>
      <w:pPr>
        <w:pStyle w:val="ListBullet"/>
      </w:pPr>
      <w:r>
        <w:rPr>
          <w:sz w:val="22"/>
        </w:rPr>
        <w:t>Inability to identify loss-making items or segments affecting overall profitability.</w:t>
      </w:r>
    </w:p>
    <w:p>
      <w:pPr>
        <w:pStyle w:val="ListBullet"/>
      </w:pPr>
      <w:r>
        <w:rPr>
          <w:sz w:val="22"/>
        </w:rPr>
        <w:t>Insufficient trend analysis to support strategic sales forecasting and planning.</w:t>
      </w:r>
    </w:p>
    <w:p>
      <w:pPr>
        <w:pStyle w:val="ListBullet"/>
      </w:pPr>
      <w:r>
        <w:rPr>
          <w:sz w:val="22"/>
        </w:rPr>
        <w:t>Operational inefficiencies due to incomplete orders, pending payments, and fraud-related order issues.</w:t>
      </w:r>
    </w:p>
    <w:p>
      <w:pPr>
        <w:pStyle w:val="Heading2"/>
      </w:pPr>
      <w:r>
        <w:t>3. Objectives of the Analysis</w:t>
      </w:r>
    </w:p>
    <w:p>
      <w:pPr>
        <w:pStyle w:val="ListBullet"/>
      </w:pPr>
      <w:r>
        <w:rPr>
          <w:sz w:val="22"/>
        </w:rPr>
        <w:t>Evaluate overall sales and profitability across two years of historical e-commerce data.</w:t>
      </w:r>
    </w:p>
    <w:p>
      <w:pPr>
        <w:pStyle w:val="ListBullet"/>
      </w:pPr>
      <w:r>
        <w:rPr>
          <w:sz w:val="22"/>
        </w:rPr>
        <w:t>Identify top-performing markets, order regions, countries, states, and cities.</w:t>
      </w:r>
    </w:p>
    <w:p>
      <w:pPr>
        <w:pStyle w:val="ListBullet"/>
      </w:pPr>
      <w:r>
        <w:rPr>
          <w:sz w:val="22"/>
        </w:rPr>
        <w:t>Analyze customer behavior across segments such as Consumer, Corporate, and Home Office.</w:t>
      </w:r>
    </w:p>
    <w:p>
      <w:pPr>
        <w:pStyle w:val="ListBullet"/>
      </w:pPr>
      <w:r>
        <w:rPr>
          <w:sz w:val="22"/>
        </w:rPr>
        <w:t>Determine best-selling product categories and assess category-level profit contribution.</w:t>
      </w:r>
    </w:p>
    <w:p>
      <w:pPr>
        <w:pStyle w:val="ListBullet"/>
      </w:pPr>
      <w:r>
        <w:rPr>
          <w:sz w:val="22"/>
        </w:rPr>
        <w:t>Study year-over-year and month-over-month sales and profit trends for forecasting.</w:t>
      </w:r>
    </w:p>
    <w:p>
      <w:pPr>
        <w:pStyle w:val="ListBullet"/>
      </w:pPr>
      <w:r>
        <w:rPr>
          <w:sz w:val="22"/>
        </w:rPr>
        <w:t>Assess order fulfillment efficiency using order status analysis.</w:t>
      </w:r>
    </w:p>
    <w:p>
      <w:pPr>
        <w:pStyle w:val="ListBullet"/>
      </w:pPr>
      <w:r>
        <w:rPr>
          <w:sz w:val="22"/>
        </w:rPr>
        <w:t>Examine shipping modes and their impact on customer delivery and profitability.</w:t>
      </w:r>
    </w:p>
    <w:p>
      <w:pPr>
        <w:pStyle w:val="ListBullet"/>
      </w:pPr>
      <w:r>
        <w:rPr>
          <w:sz w:val="22"/>
        </w:rPr>
        <w:t>Generate actionable business insights to guide strategic decision-making.</w:t>
      </w:r>
    </w:p>
    <w:p>
      <w:pPr>
        <w:pStyle w:val="Heading2"/>
      </w:pPr>
      <w:r>
        <w:t>4. Key Performance Indicators (KPIs)</w:t>
      </w:r>
    </w:p>
    <w:p>
      <w:pPr>
        <w:pStyle w:val="ListBullet"/>
      </w:pPr>
      <w:r>
        <w:rPr>
          <w:sz w:val="22"/>
        </w:rPr>
        <w:t>Total Sales</w:t>
      </w:r>
    </w:p>
    <w:p>
      <w:pPr>
        <w:pStyle w:val="ListBullet"/>
      </w:pPr>
      <w:r>
        <w:rPr>
          <w:sz w:val="22"/>
        </w:rPr>
        <w:t>Total Profit</w:t>
      </w:r>
    </w:p>
    <w:p>
      <w:pPr>
        <w:pStyle w:val="ListBullet"/>
      </w:pPr>
      <w:r>
        <w:rPr>
          <w:sz w:val="22"/>
        </w:rPr>
        <w:t>Profit Margin %</w:t>
      </w:r>
    </w:p>
    <w:p>
      <w:pPr>
        <w:pStyle w:val="ListBullet"/>
      </w:pPr>
      <w:r>
        <w:rPr>
          <w:sz w:val="22"/>
        </w:rPr>
        <w:t>Total Orders</w:t>
      </w:r>
    </w:p>
    <w:p>
      <w:pPr>
        <w:pStyle w:val="ListBullet"/>
      </w:pPr>
      <w:r>
        <w:rPr>
          <w:sz w:val="22"/>
        </w:rPr>
        <w:t>Distinct Customers</w:t>
      </w:r>
    </w:p>
    <w:p>
      <w:pPr>
        <w:pStyle w:val="ListBullet"/>
      </w:pPr>
      <w:r>
        <w:rPr>
          <w:sz w:val="22"/>
        </w:rPr>
        <w:t>Order Quantity</w:t>
      </w:r>
    </w:p>
    <w:p>
      <w:pPr>
        <w:pStyle w:val="ListBullet"/>
      </w:pPr>
      <w:r>
        <w:rPr>
          <w:sz w:val="22"/>
        </w:rPr>
        <w:t>Average Order Value (AOV)</w:t>
      </w:r>
    </w:p>
    <w:p>
      <w:pPr>
        <w:pStyle w:val="ListBullet"/>
      </w:pPr>
      <w:r>
        <w:rPr>
          <w:sz w:val="22"/>
        </w:rPr>
        <w:t>Profit Per Order</w:t>
      </w:r>
    </w:p>
    <w:p>
      <w:pPr>
        <w:pStyle w:val="ListBullet"/>
      </w:pPr>
      <w:r>
        <w:rPr>
          <w:sz w:val="22"/>
        </w:rPr>
        <w:t>Top Product Categories and Contribution</w:t>
      </w:r>
    </w:p>
    <w:p>
      <w:pPr>
        <w:pStyle w:val="ListBullet"/>
      </w:pPr>
      <w:r>
        <w:rPr>
          <w:sz w:val="22"/>
        </w:rPr>
        <w:t>Sales by Region / Market / Country</w:t>
      </w:r>
    </w:p>
    <w:p>
      <w:pPr>
        <w:pStyle w:val="ListBullet"/>
      </w:pPr>
      <w:r>
        <w:rPr>
          <w:sz w:val="22"/>
        </w:rPr>
        <w:t>Customer Segment Contribution</w:t>
      </w:r>
    </w:p>
    <w:p>
      <w:pPr>
        <w:pStyle w:val="ListBullet"/>
      </w:pPr>
      <w:r>
        <w:rPr>
          <w:sz w:val="22"/>
        </w:rPr>
        <w:t>Category-Wise Volume and Profitability</w:t>
      </w:r>
    </w:p>
    <w:p>
      <w:pPr>
        <w:pStyle w:val="Heading2"/>
      </w:pPr>
      <w:r>
        <w:t>5. Dataset Summary</w:t>
      </w:r>
    </w:p>
    <w:p>
      <w:pPr>
        <w:pStyle w:val="ListBullet"/>
      </w:pPr>
      <w:r>
        <w:rPr>
          <w:sz w:val="22"/>
        </w:rPr>
        <w:t>Total Records: 110,764 line items</w:t>
      </w:r>
    </w:p>
    <w:p>
      <w:pPr>
        <w:pStyle w:val="ListBullet"/>
      </w:pPr>
      <w:r>
        <w:rPr>
          <w:sz w:val="22"/>
        </w:rPr>
        <w:t>Distinct Orders: 41,029</w:t>
      </w:r>
    </w:p>
    <w:p>
      <w:pPr>
        <w:pStyle w:val="ListBullet"/>
      </w:pPr>
      <w:r>
        <w:rPr>
          <w:sz w:val="22"/>
        </w:rPr>
        <w:t>Customer Count: 17,515 unique customers</w:t>
      </w:r>
    </w:p>
    <w:p>
      <w:pPr>
        <w:pStyle w:val="ListBullet"/>
      </w:pPr>
      <w:r>
        <w:rPr>
          <w:sz w:val="22"/>
        </w:rPr>
        <w:t>Order Period: January 2016 – December 2017</w:t>
      </w:r>
    </w:p>
    <w:p>
      <w:pPr>
        <w:pStyle w:val="ListBullet"/>
      </w:pPr>
      <w:r>
        <w:rPr>
          <w:sz w:val="22"/>
        </w:rPr>
        <w:t>Total Sales: ~26.47M</w:t>
      </w:r>
    </w:p>
    <w:p>
      <w:pPr>
        <w:pStyle w:val="ListBullet"/>
      </w:pPr>
      <w:r>
        <w:rPr>
          <w:sz w:val="22"/>
        </w:rPr>
        <w:t>Total Profit: ~2.50M</w:t>
      </w:r>
    </w:p>
    <w:p>
      <w:pPr>
        <w:pStyle w:val="ListBullet"/>
      </w:pPr>
      <w:r>
        <w:rPr>
          <w:sz w:val="22"/>
        </w:rPr>
        <w:t>Total Quantity Sold: 284,209 units</w:t>
      </w:r>
    </w:p>
    <w:p>
      <w:pPr>
        <w:pStyle w:val="ListBullet"/>
      </w:pPr>
      <w:r>
        <w:rPr>
          <w:sz w:val="22"/>
        </w:rPr>
        <w:t>Average Profit Margin: ~9.4%</w:t>
      </w:r>
    </w:p>
    <w:p>
      <w:pPr>
        <w:pStyle w:val="ListBullet"/>
      </w:pPr>
      <w:r>
        <w:rPr>
          <w:sz w:val="22"/>
        </w:rPr>
        <w:t>Average Items Per Order: ~6.9 units</w:t>
      </w:r>
    </w:p>
    <w:p>
      <w:pPr>
        <w:pStyle w:val="Heading2"/>
      </w:pPr>
      <w:r>
        <w:t>6. Market-Level Insights</w:t>
      </w:r>
    </w:p>
    <w:p>
      <w:pPr>
        <w:pStyle w:val="ListBullet"/>
      </w:pPr>
      <w:r>
        <w:rPr>
          <w:sz w:val="22"/>
        </w:rPr>
        <w:t>Europe and LATAM contribute the highest share of total revenue.</w:t>
      </w:r>
    </w:p>
    <w:p>
      <w:pPr>
        <w:pStyle w:val="ListBullet"/>
      </w:pPr>
      <w:r>
        <w:rPr>
          <w:sz w:val="22"/>
        </w:rPr>
        <w:t>USCA (US &amp; Canada) delivers the highest profit margin (~10.4%).</w:t>
      </w:r>
    </w:p>
    <w:p>
      <w:pPr>
        <w:pStyle w:val="ListBullet"/>
      </w:pPr>
      <w:r>
        <w:rPr>
          <w:sz w:val="22"/>
        </w:rPr>
        <w:t>Pacific Asia and Africa maintain healthy profit margins (~9.6–9.7%).</w:t>
      </w:r>
    </w:p>
    <w:p>
      <w:pPr>
        <w:pStyle w:val="ListBullet"/>
      </w:pPr>
      <w:r>
        <w:rPr>
          <w:sz w:val="22"/>
        </w:rPr>
        <w:t>Europe and LATAM combined account for nearly 50% of total sales.</w:t>
      </w:r>
    </w:p>
    <w:p>
      <w:pPr>
        <w:pStyle w:val="Heading2"/>
      </w:pPr>
      <w:r>
        <w:t>7. Regional Performance Insights</w:t>
      </w:r>
    </w:p>
    <w:p>
      <w:pPr>
        <w:pStyle w:val="ListBullet"/>
      </w:pPr>
      <w:r>
        <w:rPr>
          <w:sz w:val="22"/>
        </w:rPr>
        <w:t>Central America and Western Europe lead in absolute sales volume.</w:t>
      </w:r>
    </w:p>
    <w:p>
      <w:pPr>
        <w:pStyle w:val="ListBullet"/>
      </w:pPr>
      <w:r>
        <w:rPr>
          <w:sz w:val="22"/>
        </w:rPr>
        <w:t>High-margin regions include Canada, Southern Africa, and Central Asia.</w:t>
      </w:r>
    </w:p>
    <w:p>
      <w:pPr>
        <w:pStyle w:val="ListBullet"/>
      </w:pPr>
      <w:r>
        <w:rPr>
          <w:sz w:val="22"/>
        </w:rPr>
        <w:t>US regional clusters (West, East, Center, South) show balanced revenue and profitability.</w:t>
      </w:r>
    </w:p>
    <w:p>
      <w:pPr>
        <w:pStyle w:val="Heading2"/>
      </w:pPr>
      <w:r>
        <w:t>8. Country-Level Insights</w:t>
      </w:r>
    </w:p>
    <w:p>
      <w:pPr>
        <w:pStyle w:val="ListBullet"/>
      </w:pPr>
      <w:r>
        <w:rPr>
          <w:sz w:val="22"/>
        </w:rPr>
        <w:t>United States is the largest revenue-generating country (~3.71M).</w:t>
      </w:r>
    </w:p>
    <w:p>
      <w:pPr>
        <w:pStyle w:val="ListBullet"/>
      </w:pPr>
      <w:r>
        <w:rPr>
          <w:sz w:val="22"/>
        </w:rPr>
        <w:t>France, Mexico, Germany, Brazil, and Australia form the strong mid-tier cluster.</w:t>
      </w:r>
    </w:p>
    <w:p>
      <w:pPr>
        <w:pStyle w:val="ListBullet"/>
      </w:pPr>
      <w:r>
        <w:rPr>
          <w:sz w:val="22"/>
        </w:rPr>
        <w:t>China, UK, Italy, and India contribute significantly to total sales mix.</w:t>
      </w:r>
    </w:p>
    <w:p>
      <w:pPr>
        <w:pStyle w:val="ListBullet"/>
      </w:pPr>
      <w:r>
        <w:rPr>
          <w:sz w:val="22"/>
        </w:rPr>
        <w:t>Country-wide distribution is broad, reducing dependency on a single location.</w:t>
      </w:r>
    </w:p>
    <w:p>
      <w:pPr>
        <w:pStyle w:val="Heading2"/>
      </w:pPr>
      <w:r>
        <w:t>9. Customer Segment Insights</w:t>
      </w:r>
    </w:p>
    <w:p>
      <w:pPr>
        <w:pStyle w:val="ListBullet"/>
      </w:pPr>
      <w:r>
        <w:rPr>
          <w:sz w:val="22"/>
        </w:rPr>
        <w:t>Consumer Segment is the top contributor (~13.85M sales).</w:t>
      </w:r>
    </w:p>
    <w:p>
      <w:pPr>
        <w:pStyle w:val="ListBullet"/>
      </w:pPr>
      <w:r>
        <w:rPr>
          <w:sz w:val="22"/>
        </w:rPr>
        <w:t>Corporate segment delivers strong and stable revenue (~7.84M).</w:t>
      </w:r>
    </w:p>
    <w:p>
      <w:pPr>
        <w:pStyle w:val="ListBullet"/>
      </w:pPr>
      <w:r>
        <w:rPr>
          <w:sz w:val="22"/>
        </w:rPr>
        <w:t>Home Office is the smallest segment but still profitable (~4.78M).</w:t>
      </w:r>
    </w:p>
    <w:p>
      <w:pPr>
        <w:pStyle w:val="ListBullet"/>
      </w:pPr>
      <w:r>
        <w:rPr>
          <w:sz w:val="22"/>
        </w:rPr>
        <w:t>Customer base is broad with low concentration risk.</w:t>
      </w:r>
    </w:p>
    <w:p>
      <w:pPr>
        <w:pStyle w:val="Heading2"/>
      </w:pPr>
      <w:r>
        <w:t>10. Product Category Analysis</w:t>
      </w:r>
    </w:p>
    <w:p>
      <w:pPr>
        <w:pStyle w:val="ListBullet"/>
      </w:pPr>
      <w:r>
        <w:rPr>
          <w:sz w:val="22"/>
        </w:rPr>
        <w:t>Top revenue categories: Cardio Equipment, Fishing, Camping &amp; Hiking, Cleats.</w:t>
      </w:r>
    </w:p>
    <w:p>
      <w:pPr>
        <w:pStyle w:val="ListBullet"/>
      </w:pPr>
      <w:r>
        <w:rPr>
          <w:sz w:val="22"/>
        </w:rPr>
        <w:t>Top profit category: Fishing, followed by Cleats.</w:t>
      </w:r>
    </w:p>
    <w:p>
      <w:pPr>
        <w:pStyle w:val="ListBullet"/>
      </w:pPr>
      <w:r>
        <w:rPr>
          <w:sz w:val="22"/>
        </w:rPr>
        <w:t>High volume categories include Cleats, Women’s Apparel, and Indoor/Outdoor Games.</w:t>
      </w:r>
    </w:p>
    <w:p>
      <w:pPr>
        <w:pStyle w:val="ListBullet"/>
      </w:pPr>
      <w:r>
        <w:rPr>
          <w:sz w:val="22"/>
        </w:rPr>
        <w:t>Niche categories like Books, Toys, and Baby have minimal revenue impact.</w:t>
      </w:r>
    </w:p>
    <w:p>
      <w:pPr>
        <w:pStyle w:val="Heading2"/>
      </w:pPr>
      <w:r>
        <w:t>11. Time-Series Trends</w:t>
      </w:r>
    </w:p>
    <w:p>
      <w:pPr>
        <w:pStyle w:val="ListBullet"/>
      </w:pPr>
      <w:r>
        <w:rPr>
          <w:sz w:val="22"/>
        </w:rPr>
        <w:t>Revenue increased from 12.89M (2016) to 13.58M (2017).</w:t>
      </w:r>
    </w:p>
    <w:p>
      <w:pPr>
        <w:pStyle w:val="ListBullet"/>
      </w:pPr>
      <w:r>
        <w:rPr>
          <w:sz w:val="22"/>
        </w:rPr>
        <w:t>Profit slightly declined despite revenue growth, indicating rising operational cost.</w:t>
      </w:r>
    </w:p>
    <w:p>
      <w:pPr>
        <w:pStyle w:val="ListBullet"/>
      </w:pPr>
      <w:r>
        <w:rPr>
          <w:sz w:val="22"/>
        </w:rPr>
        <w:t>October 2017 recorded the highest monthly sales (~1.28M).</w:t>
      </w:r>
    </w:p>
    <w:p>
      <w:pPr>
        <w:pStyle w:val="ListBullet"/>
      </w:pPr>
      <w:r>
        <w:rPr>
          <w:sz w:val="22"/>
        </w:rPr>
        <w:t>November shows consistent dips, suggesting seasonality after promotions.</w:t>
      </w:r>
    </w:p>
    <w:p>
      <w:pPr>
        <w:pStyle w:val="Heading2"/>
      </w:pPr>
      <w:r>
        <w:t>12. Operational &amp; Fulfillment Insights</w:t>
      </w:r>
    </w:p>
    <w:p>
      <w:pPr>
        <w:pStyle w:val="ListBullet"/>
      </w:pPr>
      <w:r>
        <w:rPr>
          <w:sz w:val="22"/>
        </w:rPr>
        <w:t>Significant revenue is held in Pending, On Hold, and Payment Review status.</w:t>
      </w:r>
    </w:p>
    <w:p>
      <w:pPr>
        <w:pStyle w:val="ListBullet"/>
      </w:pPr>
      <w:r>
        <w:rPr>
          <w:sz w:val="22"/>
        </w:rPr>
        <w:t>18–19% of line items are loss-making, indicating pricing or discount issues.</w:t>
      </w:r>
    </w:p>
    <w:p>
      <w:pPr>
        <w:pStyle w:val="ListBullet"/>
      </w:pPr>
      <w:r>
        <w:rPr>
          <w:sz w:val="22"/>
        </w:rPr>
        <w:t>Standard Class shipping dominates total orders (~15.44M sales).</w:t>
      </w:r>
    </w:p>
    <w:p>
      <w:pPr>
        <w:pStyle w:val="ListBullet"/>
      </w:pPr>
      <w:r>
        <w:rPr>
          <w:sz w:val="22"/>
        </w:rPr>
        <w:t>Same Day shipping shows slightly higher margin (~9.8%).</w:t>
      </w:r>
    </w:p>
    <w:p>
      <w:pPr>
        <w:pStyle w:val="Heading2"/>
      </w:pPr>
      <w:r>
        <w:t>13. Business Recommendations</w:t>
      </w:r>
    </w:p>
    <w:p>
      <w:pPr>
        <w:pStyle w:val="ListBullet"/>
      </w:pPr>
      <w:r>
        <w:rPr>
          <w:sz w:val="22"/>
        </w:rPr>
        <w:t>Improve pricing strategy for loss-making SKUs to increase margins.</w:t>
      </w:r>
    </w:p>
    <w:p>
      <w:pPr>
        <w:pStyle w:val="ListBullet"/>
      </w:pPr>
      <w:r>
        <w:rPr>
          <w:sz w:val="22"/>
        </w:rPr>
        <w:t>Reduce pending and fraud-related orders by improving verification workflows.</w:t>
      </w:r>
    </w:p>
    <w:p>
      <w:pPr>
        <w:pStyle w:val="ListBullet"/>
      </w:pPr>
      <w:r>
        <w:rPr>
          <w:sz w:val="22"/>
        </w:rPr>
        <w:t>Increase focus on high-margin regions like USCA, Canada, Southern Africa.</w:t>
      </w:r>
    </w:p>
    <w:p>
      <w:pPr>
        <w:pStyle w:val="ListBullet"/>
      </w:pPr>
      <w:r>
        <w:rPr>
          <w:sz w:val="22"/>
        </w:rPr>
        <w:t>Boost marketing and inventory for top categories such as Fishing and Cardio Equipment.</w:t>
      </w:r>
    </w:p>
    <w:p>
      <w:pPr>
        <w:pStyle w:val="ListBullet"/>
      </w:pPr>
      <w:r>
        <w:rPr>
          <w:sz w:val="22"/>
        </w:rPr>
        <w:t>Leverage customer segmentation insights to design targeted campaigns.</w:t>
      </w:r>
    </w:p>
    <w:p>
      <w:pPr>
        <w:pStyle w:val="ListBullet"/>
      </w:pPr>
      <w:r>
        <w:rPr>
          <w:sz w:val="22"/>
        </w:rPr>
        <w:t>Plan inventory and promotions around high-performing months (e.g., October).</w:t>
      </w:r>
    </w:p>
    <w:p>
      <w:pPr>
        <w:pStyle w:val="Heading2"/>
      </w:pPr>
      <w:r>
        <w:t>14. Conclusion</w:t>
      </w:r>
    </w:p>
    <w:p>
      <w:r>
        <w:rPr>
          <w:sz w:val="22"/>
        </w:rPr>
        <w:t>The E-Commerce business shows strong top-line performance with diverse customer reach and balanced contribution across markets. However, declining profit margins, loss-making items, and large volume of unprocessed orders are areas requiring immediate attention. With data-driven strategies, targeted pricing, and operational improvement initiatives, the business has high potential to scale both revenue and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