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Customer Support Guidelines - Internal Use Only (2024)</w:t>
      </w:r>
    </w:p>
    <w:p>
      <w:pPr>
        <w:pStyle w:val="Heading2"/>
      </w:pPr>
      <w:r>
        <w:t>Purpose</w:t>
      </w:r>
    </w:p>
    <w:p>
      <w:pPr>
        <w:spacing w:after="160"/>
      </w:pPr>
      <w:r>
        <w:t>These guidelines define how support agents should handle common customer requests including returns, refunds, complaints, and escalations. Agents are expected to follow these procedures precisely to ensure consistent service quality.</w:t>
      </w:r>
    </w:p>
    <w:p>
      <w:pPr>
        <w:pStyle w:val="Heading2"/>
      </w:pPr>
      <w:r>
        <w:t>Support Process</w:t>
      </w:r>
    </w:p>
    <w:p>
      <w:pPr>
        <w:spacing w:after="160"/>
      </w:pPr>
      <w:r>
        <w:t>Refund requests are accepted within 14 days of delivery only. After 14 days, store credit may be offered at management discretion. Agents should not approve cash refunds beyond this window without written authorisation from a team lead.</w:t>
      </w:r>
    </w:p>
    <w:p>
      <w:pPr>
        <w:pStyle w:val="Heading2"/>
      </w:pPr>
      <w:r>
        <w:t>Escalation Path</w:t>
      </w:r>
    </w:p>
    <w:p>
      <w:pPr>
        <w:spacing w:after="160"/>
      </w:pPr>
      <w:r>
        <w:t>Tier 1 support handles standard queries. Complaints unresolved after 2 contacts must be escalated to Tier 2. All escalations require a completed case summary submitted through the internal CRM before handoff.</w:t>
      </w:r>
    </w:p>
    <w:p>
      <w:pPr>
        <w:pStyle w:val="Heading2"/>
      </w:pPr>
      <w:r>
        <w:t>Agent Notes</w:t>
      </w:r>
    </w:p>
    <w:p>
      <w:pPr>
        <w:spacing w:after="160"/>
      </w:pPr>
      <w:r>
        <w:t>Always verify order status in the logistics portal before processing any refund or return request. Document every customer interaction in the CRM regardless of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