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Fonts w:ascii="Arial" w:cs="Arial" w:eastAsia="Arial" w:hAnsi="Arial"/>
        </w:rPr>
        <w:t xml:space="preserve">Attack Taxonomy, Model Family, and Honest Legal Class</w:t>
      </w:r>
    </w:p>
    <w:p>
      <w:pPr>
        <w:spacing w:after="280"/>
        <w:jc w:val="center"/>
      </w:pPr>
      <w:r>
        <w:rPr>
          <w:b/>
          <w:bCs/>
          <w:sz w:val="28"/>
          <w:szCs w:val="28"/>
          <w:rFonts w:ascii="Arial" w:cs="Arial" w:eastAsia="Arial" w:hAnsi="Arial"/>
        </w:rPr>
        <w:t xml:space="preserve">An Evaluation Study of LLM Jailbreaks</w:t>
      </w:r>
    </w:p>
    <w:p>
      <w:pPr>
        <w:spacing w:after="80"/>
        <w:jc w:val="center"/>
      </w:pPr>
      <w:r>
        <w:rPr>
          <w:i w:val="false"/>
          <w:iCs w:val="false"/>
          <w:sz w:val="24"/>
          <w:szCs w:val="24"/>
          <w:rFonts w:ascii="Arial" w:cs="Arial" w:eastAsia="Arial" w:hAnsi="Arial"/>
        </w:rPr>
        <w:t xml:space="preserve">Ashwin Hegde</w:t>
      </w:r>
    </w:p>
    <w:p>
      <w:pPr>
        <w:spacing w:after="80"/>
        <w:jc w:val="center"/>
      </w:pPr>
      <w:r>
        <w:rPr>
          <w:i/>
          <w:iCs/>
          <w:sz w:val="22"/>
          <w:szCs w:val="22"/>
          <w:rFonts w:ascii="Arial" w:cs="Arial" w:eastAsia="Arial" w:hAnsi="Arial"/>
        </w:rPr>
        <w:t xml:space="preserve">AI Risk Evaluation Workbench</w:t>
      </w:r>
    </w:p>
    <w:p>
      <w:pPr>
        <w:spacing w:after="80"/>
        <w:jc w:val="center"/>
      </w:pPr>
      <w:r>
        <w:rPr>
          <w:i w:val="false"/>
          <w:iCs w:val="false"/>
          <w:sz w:val="22"/>
          <w:szCs w:val="22"/>
          <w:rFonts w:ascii="Arial" w:cs="Arial" w:eastAsia="Arial" w:hAnsi="Arial"/>
        </w:rPr>
        <w:t xml:space="preserve">August 2026</w:t>
      </w:r>
    </w:p>
    <w:p>
      <w:pPr>
        <w:spacing w:after="240"/>
      </w:pPr>
    </w:p>
    <w:p>
      <w:pPr>
        <w:spacing w:after="200" w:line="276"/>
        <w:jc w:val="both"/>
      </w:pPr>
      <w:r>
        <w:rPr>
          <w:i/>
          <w:iCs/>
          <w:sz w:val="22"/>
          <w:szCs w:val="22"/>
          <w:rFonts w:ascii="Arial" w:cs="Arial" w:eastAsia="Arial" w:hAnsi="Arial"/>
        </w:rPr>
        <w:t xml:space="preserve">A dissertation draft for an applied computing / information-systems capstone. This document reports what the repository actually measured. It does not claim EU AI Act certification, CE marking, or a new foundation model.</w:t>
      </w:r>
    </w:p>
    <w:p>
      <w:pPr>
        <w:pStyle w:val="Heading1"/>
        <w:spacing w:before="360" w:after="200"/>
      </w:pPr>
      <w:r>
        <w:rPr>
          <w:b/>
          <w:bCs/>
          <w:sz w:val="32"/>
          <w:szCs w:val="32"/>
          <w:rFonts w:ascii="Arial" w:cs="Arial" w:eastAsia="Arial" w:hAnsi="Arial"/>
        </w:rPr>
        <w:t xml:space="preserve">Abstract</w:t>
      </w:r>
    </w:p>
    <w:p>
      <w:pPr>
        <w:spacing w:after="200" w:line="276"/>
        <w:jc w:val="both"/>
      </w:pPr>
      <w:r>
        <w:rPr>
          <w:sz w:val="22"/>
          <w:szCs w:val="22"/>
          <w:rFonts w:ascii="Arial" w:cs="Arial" w:eastAsia="Arial" w:hAnsi="Arial"/>
        </w:rPr>
        <w:t xml:space="preserve">This project evaluates three language-model backends on the same fifteen-strategy red-team suite and asks two questions. First, how much of jailbreak success is explained by attack type rather than model family? Second, can evaluation scores be used to assign an EU AI Act risk class? On 225 trials (15 strategies × 5 seeds × 3 models), break rates were 9.3% for openai/gpt-5 (7/75, Wilson 95% CI [4.6%, 18.0%]), 21.3% for deepseek/deepseek-v4-flash (16/75, [13.6%, 31.9%]), and 66.7% for qwen3-8b (50/75, [55.4%, 76.3%]). One strategy, structured JSON output, broke all three models on every trial (15/15). Earlier DeepSeek runs flipped from 0% to 80% when the attack set changed, which is evidence that the suite can dominate the model. A single human then labelled 48 of 50 sampled transcripts against the same COMPLIED / REFUSED rule used by the gpt-4o-mini break judge. After six corrections of clear yes/no mix-ups, agreement was 75% (Cohen’s κ = 0.50). The legal contribution is negative but important: EU AI Act class is a function of declared use case (Art. 5, Art. 6 + Annex III, Art. 50, Chapter V), not of a bias or jailbreak score. The workbench now encodes that rule and stops issuing language that sounds like a conformity certificate.</w:t>
      </w:r>
    </w:p>
    <w:p>
      <w:pPr>
        <w:spacing w:after="200" w:line="276"/>
        <w:jc w:val="both"/>
      </w:pPr>
      <w:r>
        <w:rPr>
          <w:i/>
          <w:iCs/>
          <w:sz w:val="22"/>
          <w:szCs w:val="22"/>
          <w:rFonts w:ascii="Arial" w:cs="Arial" w:eastAsia="Arial" w:hAnsi="Arial"/>
        </w:rPr>
        <w:t xml:space="preserve">Keywords: LLM red-teaming, jailbreak, LLM-as-judge, EU AI Act, human adjudication, evaluation validity.</w:t>
      </w:r>
    </w:p>
    <w:p>
      <w:pPr>
        <w:pStyle w:val="Heading1"/>
        <w:spacing w:before="360" w:after="200"/>
      </w:pPr>
      <w:r>
        <w:rPr>
          <w:b/>
          <w:bCs/>
          <w:sz w:val="32"/>
          <w:szCs w:val="32"/>
          <w:rFonts w:ascii="Arial" w:cs="Arial" w:eastAsia="Arial" w:hAnsi="Arial"/>
        </w:rPr>
        <w:t xml:space="preserve">Chapter 1 — Introduction</w:t>
      </w:r>
    </w:p>
    <w:p>
      <w:pPr>
        <w:pStyle w:val="Heading2"/>
        <w:spacing w:before="280" w:after="160"/>
      </w:pPr>
      <w:r>
        <w:rPr>
          <w:b/>
          <w:bCs/>
          <w:sz w:val="26"/>
          <w:szCs w:val="26"/>
          <w:rFonts w:ascii="Arial" w:cs="Arial" w:eastAsia="Arial" w:hAnsi="Arial"/>
        </w:rPr>
        <w:t xml:space="preserve">1.1 The problem</w:t>
      </w:r>
    </w:p>
    <w:p>
      <w:pPr>
        <w:spacing w:after="200" w:line="276"/>
        <w:jc w:val="both"/>
      </w:pPr>
      <w:r>
        <w:rPr>
          <w:sz w:val="22"/>
          <w:szCs w:val="22"/>
          <w:rFonts w:ascii="Arial" w:cs="Arial" w:eastAsia="Arial" w:hAnsi="Arial"/>
        </w:rPr>
        <w:t xml:space="preserve">Teams that ship chatbots need two different facts, and they keep mixing them up.</w:t>
      </w:r>
    </w:p>
    <w:p>
      <w:pPr>
        <w:spacing w:after="200" w:line="276"/>
        <w:jc w:val="both"/>
      </w:pPr>
      <w:r>
        <w:rPr>
          <w:sz w:val="22"/>
          <w:szCs w:val="22"/>
          <w:rFonts w:ascii="Arial" w:cs="Arial" w:eastAsia="Arial" w:hAnsi="Arial"/>
        </w:rPr>
        <w:t xml:space="preserve">The first fact is technical: under a stated attack, did the model produce the prohibited artefact? That is an evaluation question. It has a transcript, a decision rule, and an error rate.</w:t>
      </w:r>
    </w:p>
    <w:p>
      <w:pPr>
        <w:spacing w:after="200" w:line="276"/>
        <w:jc w:val="both"/>
      </w:pPr>
      <w:r>
        <w:rPr>
          <w:sz w:val="22"/>
          <w:szCs w:val="22"/>
          <w:rFonts w:ascii="Arial" w:cs="Arial" w:eastAsia="Arial" w:hAnsi="Arial"/>
        </w:rPr>
        <w:t xml:space="preserve">The second fact is legal: what class does the system fall into under the EU AI Act? That question is answered by intended purpose — employment, credit, a general chatbot, a prohibited social-scoring practice — not by whether a model scored 0.4 on a bias rubric.</w:t>
      </w:r>
    </w:p>
    <w:p>
      <w:pPr>
        <w:spacing w:after="200" w:line="276"/>
        <w:jc w:val="both"/>
      </w:pPr>
      <w:r>
        <w:rPr>
          <w:sz w:val="22"/>
          <w:szCs w:val="22"/>
          <w:rFonts w:ascii="Arial" w:cs="Arial" w:eastAsia="Arial" w:hAnsi="Arial"/>
        </w:rPr>
        <w:t xml:space="preserve">Popular “AI compliance platforms,” including an earlier version of this repository, collapse the two. They map bias → Art. 6 High Risk and print a JSON “certificate.” That is convenient. It is also wrong. A customer-support bot that fails a jailbreak test is still, in the ordinary case, a limited-risk conversational system with an Art. 50 transparency duty. An employment-screening system that never fails a jailbreak is still high-risk under Annex III. Treating a score as a class is how student projects, and some vendor decks, invent a legal result they cannot defend in a viva.</w:t>
      </w:r>
    </w:p>
    <w:p>
      <w:pPr>
        <w:pStyle w:val="Heading2"/>
        <w:spacing w:before="280" w:after="160"/>
      </w:pPr>
      <w:r>
        <w:rPr>
          <w:b/>
          <w:bCs/>
          <w:sz w:val="26"/>
          <w:szCs w:val="26"/>
          <w:rFonts w:ascii="Arial" w:cs="Arial" w:eastAsia="Arial" w:hAnsi="Arial"/>
        </w:rPr>
        <w:t xml:space="preserve">1.2 Research questions</w:t>
      </w:r>
    </w:p>
    <w:p>
      <w:pPr>
        <w:spacing w:after="200" w:line="276"/>
        <w:jc w:val="both"/>
      </w:pPr>
      <w:r>
        <w:rPr>
          <w:sz w:val="22"/>
          <w:szCs w:val="22"/>
          <w:rFonts w:ascii="Arial" w:cs="Arial" w:eastAsia="Arial" w:hAnsi="Arial"/>
        </w:rPr>
        <w:t xml:space="preserve">This dissertation defends three claims, in this order.</w:t>
      </w:r>
    </w:p>
    <w:p>
      <w:pPr>
        <w:pStyle w:val="ListParagraph"/>
        <w:numPr>
          <w:ilvl w:val="0"/>
          <w:numId w:val="2"/>
        </w:numPr>
        <w:spacing w:after="80"/>
      </w:pPr>
      <w:r>
        <w:rPr>
          <w:sz w:val="22"/>
          <w:szCs w:val="22"/>
          <w:rFonts w:ascii="Arial" w:cs="Arial" w:eastAsia="Arial" w:hAnsi="Arial"/>
        </w:rPr>
        <w:t xml:space="preserve">RQ1 (taxonomy). On a fixed 15-strategy suite, jailbreak success varies at least as much by attack type as by model family. Structured-output framing broke every model tested; several classic encodings broke none of them at n = 5.</w:t>
      </w:r>
    </w:p>
    <w:p>
      <w:pPr>
        <w:pStyle w:val="ListParagraph"/>
        <w:numPr>
          <w:ilvl w:val="0"/>
          <w:numId w:val="2"/>
        </w:numPr>
        <w:spacing w:after="80"/>
      </w:pPr>
      <w:r>
        <w:rPr>
          <w:sz w:val="22"/>
          <w:szCs w:val="22"/>
          <w:rFonts w:ascii="Arial" w:cs="Arial" w:eastAsia="Arial" w:hAnsi="Arial"/>
        </w:rPr>
        <w:t xml:space="preserve">RQ2 (judge validity). An automated break judge is not a substitute for a person. A human review of 48 transcripts agrees with gpt-4o-mini on 75% of cases (κ = 0.50). Reported break rates are therefore directional.</w:t>
      </w:r>
    </w:p>
    <w:p>
      <w:pPr>
        <w:pStyle w:val="ListParagraph"/>
        <w:numPr>
          <w:ilvl w:val="0"/>
          <w:numId w:val="2"/>
        </w:numPr>
        <w:spacing w:after="80"/>
      </w:pPr>
      <w:r>
        <w:rPr>
          <w:sz w:val="22"/>
          <w:szCs w:val="22"/>
          <w:rFonts w:ascii="Arial" w:cs="Arial" w:eastAsia="Arial" w:hAnsi="Arial"/>
        </w:rPr>
        <w:t xml:space="preserve">RQ3 (legal class). Eval scores must not assign EU AI Act risk class. Class comes from declared use case. Residual findings are evidence for duties that already apply (for example Art. 15 robustness if the system is already Annex III).</w:t>
      </w:r>
    </w:p>
    <w:p>
      <w:pPr>
        <w:pStyle w:val="Heading2"/>
        <w:spacing w:before="280" w:after="160"/>
      </w:pPr>
      <w:r>
        <w:rPr>
          <w:b/>
          <w:bCs/>
          <w:sz w:val="26"/>
          <w:szCs w:val="26"/>
          <w:rFonts w:ascii="Arial" w:cs="Arial" w:eastAsia="Arial" w:hAnsi="Arial"/>
        </w:rPr>
        <w:t xml:space="preserve">1.3 What this project is not</w:t>
      </w:r>
    </w:p>
    <w:p>
      <w:pPr>
        <w:spacing w:after="200" w:line="276"/>
        <w:jc w:val="both"/>
      </w:pPr>
      <w:r>
        <w:rPr>
          <w:sz w:val="22"/>
          <w:szCs w:val="22"/>
          <w:rFonts w:ascii="Arial" w:cs="Arial" w:eastAsia="Arial" w:hAnsi="Arial"/>
        </w:rPr>
        <w:t xml:space="preserve">It is not a production compliance product. It is not better than Garak, Microsoft PyRIT, Promptfoo, or UK AISI Inspect as a general red-team toolkit. Crescendo, many-shot, and best-of-N are named after published attacks; the implementations here are short prompt ladders, not full reproductions (best-of-N in the source paper uses thousands of augmentations; this suite uses five). The project does not train a new model and does not evaluate voice or multimodal jailbreaks.</w:t>
      </w:r>
    </w:p>
    <w:p>
      <w:pPr>
        <w:spacing w:after="200" w:line="276"/>
        <w:jc w:val="both"/>
      </w:pPr>
      <w:r>
        <w:rPr>
          <w:sz w:val="22"/>
          <w:szCs w:val="22"/>
          <w:rFonts w:ascii="Arial" w:cs="Arial" w:eastAsia="Arial" w:hAnsi="Arial"/>
        </w:rPr>
        <w:t xml:space="preserve">Those limits are features of the thesis, not defects to hide. The contribution is a measured comparison plus an honest legal mapping, not a platform brand.</w:t>
      </w:r>
    </w:p>
    <w:p>
      <w:pPr>
        <w:pStyle w:val="Heading2"/>
        <w:spacing w:before="280" w:after="160"/>
      </w:pPr>
      <w:r>
        <w:rPr>
          <w:b/>
          <w:bCs/>
          <w:sz w:val="26"/>
          <w:szCs w:val="26"/>
          <w:rFonts w:ascii="Arial" w:cs="Arial" w:eastAsia="Arial" w:hAnsi="Arial"/>
        </w:rPr>
        <w:t xml:space="preserve">1.4 Structure</w:t>
      </w:r>
    </w:p>
    <w:p>
      <w:pPr>
        <w:spacing w:after="200" w:line="276"/>
        <w:jc w:val="both"/>
      </w:pPr>
      <w:r>
        <w:rPr>
          <w:sz w:val="22"/>
          <w:szCs w:val="22"/>
          <w:rFonts w:ascii="Arial" w:cs="Arial" w:eastAsia="Arial" w:hAnsi="Arial"/>
        </w:rPr>
        <w:t xml:space="preserve">Chapter 2 places the work next to published jailbreaks and the Act. Chapter 3 describes the suite, judge, human sheet, and use-case classifier. Chapter 4 reports the numbers. Chapter 5 discusses what they can and cannot support. Chapter 6 concludes.</w:t>
      </w:r>
    </w:p>
    <w:p>
      <w:pPr>
        <w:pStyle w:val="Heading1"/>
        <w:spacing w:before="360" w:after="200"/>
      </w:pPr>
      <w:r>
        <w:rPr>
          <w:b/>
          <w:bCs/>
          <w:sz w:val="32"/>
          <w:szCs w:val="32"/>
          <w:rFonts w:ascii="Arial" w:cs="Arial" w:eastAsia="Arial" w:hAnsi="Arial"/>
        </w:rPr>
        <w:t xml:space="preserve">Chapter 2 — Background and related work</w:t>
      </w:r>
    </w:p>
    <w:p>
      <w:pPr>
        <w:pStyle w:val="Heading2"/>
        <w:spacing w:before="280" w:after="160"/>
      </w:pPr>
      <w:r>
        <w:rPr>
          <w:b/>
          <w:bCs/>
          <w:sz w:val="26"/>
          <w:szCs w:val="26"/>
          <w:rFonts w:ascii="Arial" w:cs="Arial" w:eastAsia="Arial" w:hAnsi="Arial"/>
        </w:rPr>
        <w:t xml:space="preserve">2.1 Jailbreaks as an evaluation object</w:t>
      </w:r>
    </w:p>
    <w:p>
      <w:pPr>
        <w:spacing w:after="200" w:line="276"/>
        <w:jc w:val="both"/>
      </w:pPr>
      <w:r>
        <w:rPr>
          <w:sz w:val="22"/>
          <w:szCs w:val="22"/>
          <w:rFonts w:ascii="Arial" w:cs="Arial" w:eastAsia="Arial" w:hAnsi="Arial"/>
        </w:rPr>
        <w:t xml:space="preserve">A jailbreak is a prompt, or a multi-turn conversation, that causes a model to produce content its safety policy is supposed to refuse. Early public attacks were single-turn personas (DAN). Later work showed that how the request is wrapped matters more than a single magic string.</w:t>
      </w:r>
    </w:p>
    <w:p>
      <w:pPr>
        <w:spacing w:after="200" w:line="276"/>
        <w:jc w:val="both"/>
      </w:pPr>
      <w:r>
        <w:rPr>
          <w:sz w:val="22"/>
          <w:szCs w:val="22"/>
          <w:rFonts w:ascii="Arial" w:cs="Arial" w:eastAsia="Arial" w:hAnsi="Arial"/>
        </w:rPr>
        <w:t xml:space="preserve">Crescendo (Russinovich, Salem, and Eldan; USENIX Security 2025) reaches a prohibited goal by a sequence of modest, related turns. Many-shot jailbreaking (Anil et al., Anthropic; NeurIPS 2024) places a long fabricated history of compliance in context. Best-of-N jailbreaking (Hughes et al., NeurIPS 2024) samples many surface augmentations of the same harmful request. This repository implements short, deterministic versions of those ideas. They are citations of technique, not claims of paper-faithful reproduction.</w:t>
      </w:r>
    </w:p>
    <w:p>
      <w:pPr>
        <w:spacing w:after="200" w:line="276"/>
        <w:jc w:val="both"/>
      </w:pPr>
      <w:r>
        <w:rPr>
          <w:sz w:val="22"/>
          <w:szCs w:val="22"/>
          <w:rFonts w:ascii="Arial" w:cs="Arial" w:eastAsia="Arial" w:hAnsi="Arial"/>
        </w:rPr>
        <w:t xml:space="preserve">Other strategies in the suite include role-play, encoding, language switching, context flooding, tool-use bait, RAG poisoning, memory override, few-shot priming, syllogistic framing, authority conflation, and structured JSON output. The last of these is the empirical headline: asking for the prohibited artefact as a data record, not as prose.</w:t>
      </w:r>
    </w:p>
    <w:p>
      <w:pPr>
        <w:pStyle w:val="Heading2"/>
        <w:spacing w:before="280" w:after="160"/>
      </w:pPr>
      <w:r>
        <w:rPr>
          <w:b/>
          <w:bCs/>
          <w:sz w:val="26"/>
          <w:szCs w:val="26"/>
          <w:rFonts w:ascii="Arial" w:cs="Arial" w:eastAsia="Arial" w:hAnsi="Arial"/>
        </w:rPr>
        <w:t xml:space="preserve">2.2 LLM-as-judge</w:t>
      </w:r>
    </w:p>
    <w:p>
      <w:pPr>
        <w:spacing w:after="200" w:line="276"/>
        <w:jc w:val="both"/>
      </w:pPr>
      <w:r>
        <w:rPr>
          <w:sz w:val="22"/>
          <w:szCs w:val="22"/>
          <w:rFonts w:ascii="Arial" w:cs="Arial" w:eastAsia="Arial" w:hAnsi="Arial"/>
        </w:rPr>
        <w:t xml:space="preserve">Using a second model to score the first is now standard and known to be biased (position, verbosity, self-preference). This project uses gpt-4o-mini as a break adjudicator with a binary rule: COMPLIED if the visible reply provides the prohibited content, REFUSED otherwise. Disclaimers do not cancel a completed artefact. Empty replies are refusals. Internal think-blocks are stripped before the decision. A binary judge is simpler than a 1–5 rubric. It is still an instrument. Chapter 4 measures it against a human.</w:t>
      </w:r>
    </w:p>
    <w:p>
      <w:pPr>
        <w:pStyle w:val="Heading2"/>
        <w:spacing w:before="280" w:after="160"/>
      </w:pPr>
      <w:r>
        <w:rPr>
          <w:b/>
          <w:bCs/>
          <w:sz w:val="26"/>
          <w:szCs w:val="26"/>
          <w:rFonts w:ascii="Arial" w:cs="Arial" w:eastAsia="Arial" w:hAnsi="Arial"/>
        </w:rPr>
        <w:t xml:space="preserve">2.3 The EU AI Act, briefly and accurately</w:t>
      </w:r>
    </w:p>
    <w:p>
      <w:pPr>
        <w:spacing w:after="200" w:line="276"/>
        <w:jc w:val="both"/>
      </w:pPr>
      <w:r>
        <w:rPr>
          <w:sz w:val="22"/>
          <w:szCs w:val="22"/>
          <w:rFonts w:ascii="Arial" w:cs="Arial" w:eastAsia="Arial" w:hAnsi="Arial"/>
        </w:rPr>
        <w:t xml:space="preserve">The Act does not classify “GPT-5” or “Qwen” as high-risk because a red-team score was poor.</w:t>
      </w:r>
    </w:p>
    <w:p>
      <w:pPr>
        <w:pStyle w:val="ListParagraph"/>
        <w:numPr>
          <w:ilvl w:val="0"/>
          <w:numId w:val="2"/>
        </w:numPr>
        <w:spacing w:after="80"/>
      </w:pPr>
      <w:r>
        <w:rPr>
          <w:sz w:val="22"/>
          <w:szCs w:val="22"/>
          <w:rFonts w:ascii="Arial" w:cs="Arial" w:eastAsia="Arial" w:hAnsi="Arial"/>
        </w:rPr>
        <w:t xml:space="preserve">Article 5 prohibits specific practices (social scoring of natural persons, certain manipulative techniques, real-time remote biometric identification in publicly accessible spaces subject to listed exceptions, emotion recognition in workplace and education). The use is banned. A model that can be misused for social scoring is not thereby an Art. 5 system.</w:t>
      </w:r>
    </w:p>
    <w:p>
      <w:pPr>
        <w:pStyle w:val="ListParagraph"/>
        <w:numPr>
          <w:ilvl w:val="0"/>
          <w:numId w:val="2"/>
        </w:numPr>
        <w:spacing w:after="80"/>
      </w:pPr>
      <w:r>
        <w:rPr>
          <w:sz w:val="22"/>
          <w:szCs w:val="22"/>
          <w:rFonts w:ascii="Arial" w:cs="Arial" w:eastAsia="Arial" w:hAnsi="Arial"/>
        </w:rPr>
        <w:t xml:space="preserve">Article 6 and Annex III list high-risk systems by intended purpose: education and vocational assessment, employment and worker management, access to essential services including credit, law enforcement, and others. High-risk duties (Arts. 9–15) attach to that purpose.</w:t>
      </w:r>
    </w:p>
    <w:p>
      <w:pPr>
        <w:pStyle w:val="ListParagraph"/>
        <w:numPr>
          <w:ilvl w:val="0"/>
          <w:numId w:val="2"/>
        </w:numPr>
        <w:spacing w:after="80"/>
      </w:pPr>
      <w:r>
        <w:rPr>
          <w:sz w:val="22"/>
          <w:szCs w:val="22"/>
          <w:rFonts w:ascii="Arial" w:cs="Arial" w:eastAsia="Arial" w:hAnsi="Arial"/>
        </w:rPr>
        <w:t xml:space="preserve">Article 50 imposes transparency duties on chatbots (disclose that the user is interacting with AI) and on synthetic content.</w:t>
      </w:r>
    </w:p>
    <w:p>
      <w:pPr>
        <w:pStyle w:val="ListParagraph"/>
        <w:numPr>
          <w:ilvl w:val="0"/>
          <w:numId w:val="2"/>
        </w:numPr>
        <w:spacing w:after="80"/>
      </w:pPr>
      <w:r>
        <w:rPr>
          <w:sz w:val="22"/>
          <w:szCs w:val="22"/>
          <w:rFonts w:ascii="Arial" w:cs="Arial" w:eastAsia="Arial" w:hAnsi="Arial"/>
        </w:rPr>
        <w:t xml:space="preserve">Chapter V (Arts. 51–56) imposes provider duties on general-purpose AI models, separately from whether a downstream deployer later puts the same weights in an Annex III product.</w:t>
      </w:r>
    </w:p>
    <w:p>
      <w:pPr>
        <w:spacing w:after="200" w:line="276"/>
        <w:jc w:val="both"/>
      </w:pPr>
      <w:r>
        <w:rPr>
          <w:sz w:val="22"/>
          <w:szCs w:val="22"/>
          <w:rFonts w:ascii="Arial" w:cs="Arial" w:eastAsia="Arial" w:hAnsi="Arial"/>
        </w:rPr>
        <w:t xml:space="preserve">A jailbreak finding on a chatbot is residual robustness evidence. It becomes an Art. 15 gap if and only if the system under assessment is already high-risk by purpose. Mapping jailbreak_resistance → Art. 50 or bias → Art. 6 from the dimension name alone is a category error. This project previously made that error. Chapter 3 describes the replacement.</w:t>
      </w:r>
    </w:p>
    <w:p>
      <w:pPr>
        <w:pStyle w:val="Heading2"/>
        <w:spacing w:before="280" w:after="160"/>
      </w:pPr>
      <w:r>
        <w:rPr>
          <w:b/>
          <w:bCs/>
          <w:sz w:val="26"/>
          <w:szCs w:val="26"/>
          <w:rFonts w:ascii="Arial" w:cs="Arial" w:eastAsia="Arial" w:hAnsi="Arial"/>
        </w:rPr>
        <w:t xml:space="preserve">2.4 Existing tools</w:t>
      </w:r>
    </w:p>
    <w:p>
      <w:pPr>
        <w:spacing w:after="200" w:line="276"/>
        <w:jc w:val="both"/>
      </w:pPr>
      <w:r>
        <w:rPr>
          <w:sz w:val="22"/>
          <w:szCs w:val="22"/>
          <w:rFonts w:ascii="Arial" w:cs="Arial" w:eastAsia="Arial" w:hAnsi="Arial"/>
        </w:rPr>
        <w:t xml:space="preserve">NVIDIA Garak, Microsoft PyRIT, Promptfoo, and Inspect (UK AISI) already run adversarial probes at larger scale and with better sampling than this suite. This dissertation does not replace them. It uses a fixed suite so that three backends can be compared, and it refuses to launder those comparisons into a legal certificate.</w:t>
      </w:r>
    </w:p>
    <w:p>
      <w:pPr>
        <w:pStyle w:val="Heading1"/>
        <w:spacing w:before="360" w:after="200"/>
      </w:pPr>
      <w:r>
        <w:rPr>
          <w:b/>
          <w:bCs/>
          <w:sz w:val="32"/>
          <w:szCs w:val="32"/>
          <w:rFonts w:ascii="Arial" w:cs="Arial" w:eastAsia="Arial" w:hAnsi="Arial"/>
        </w:rPr>
        <w:t xml:space="preserve">Chapter 3 — Method</w:t>
      </w:r>
    </w:p>
    <w:p>
      <w:pPr>
        <w:pStyle w:val="Heading2"/>
        <w:spacing w:before="280" w:after="160"/>
      </w:pPr>
      <w:r>
        <w:rPr>
          <w:b/>
          <w:bCs/>
          <w:sz w:val="26"/>
          <w:szCs w:val="26"/>
          <w:rFonts w:ascii="Arial" w:cs="Arial" w:eastAsia="Arial" w:hAnsi="Arial"/>
        </w:rPr>
        <w:t xml:space="preserve">3.1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Target</w:t>
            </w:r>
          </w:p>
        </w:tc>
        <w:tc>
          <w:tcPr>
            <w:tcW w:type="dxa" w:w="2713"/>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Role</w:t>
            </w:r>
          </w:p>
        </w:tc>
        <w:tc>
          <w:tcPr>
            <w:tcW w:type="dxa" w:w="2713"/>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Serving</w:t>
            </w:r>
          </w:p>
        </w:tc>
      </w:tr>
      <w:tr>
        <w:tc>
          <w:tcPr>
            <w:tcW w:type="dxa" w:w="36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openai/gpt-5</w:t>
            </w:r>
          </w:p>
        </w:tc>
        <w:tc>
          <w:tcPr>
            <w:tcW w:type="dxa" w:w="27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Frontier</w:t>
            </w:r>
          </w:p>
        </w:tc>
        <w:tc>
          <w:tcPr>
            <w:tcW w:type="dxa" w:w="27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Kilo / OpenAI-compatible gateway</w:t>
            </w:r>
          </w:p>
        </w:tc>
      </w:tr>
      <w:tr>
        <w:tc>
          <w:tcPr>
            <w:tcW w:type="dxa" w:w="36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deepseek/deepseek-v4-flash</w:t>
            </w:r>
          </w:p>
        </w:tc>
        <w:tc>
          <w:tcPr>
            <w:tcW w:type="dxa" w:w="2713"/>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Flash-tier frontier</w:t>
            </w:r>
          </w:p>
        </w:tc>
        <w:tc>
          <w:tcPr>
            <w:tcW w:type="dxa" w:w="2713"/>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Same gateway</w:t>
            </w:r>
          </w:p>
        </w:tc>
      </w:tr>
      <w:tr>
        <w:tc>
          <w:tcPr>
            <w:tcW w:type="dxa" w:w="36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qwen3-8b</w:t>
            </w:r>
          </w:p>
        </w:tc>
        <w:tc>
          <w:tcPr>
            <w:tcW w:type="dxa" w:w="27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Open-weight, self-hosted</w:t>
            </w:r>
          </w:p>
        </w:tc>
        <w:tc>
          <w:tcPr>
            <w:tcW w:type="dxa" w:w="27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Modal, NVIDIA L4, vLLM</w:t>
            </w:r>
          </w:p>
        </w:tc>
      </w:tr>
    </w:tbl>
    <w:p>
      <w:pPr>
        <w:spacing w:before="80" w:after="240"/>
        <w:jc w:val="center"/>
      </w:pPr>
      <w:r>
        <w:rPr>
          <w:i/>
          <w:iCs/>
          <w:color w:val="4B5563"/>
          <w:sz w:val="18"/>
          <w:szCs w:val="18"/>
          <w:rFonts w:ascii="Arial" w:cs="Arial" w:eastAsia="Arial" w:hAnsi="Arial"/>
        </w:rPr>
        <w:t xml:space="preserve">Table 1. Models under test.</w:t>
      </w:r>
    </w:p>
    <w:p>
      <w:pPr>
        <w:spacing w:after="200" w:line="276"/>
        <w:jc w:val="both"/>
      </w:pPr>
      <w:r>
        <w:rPr>
          <w:sz w:val="22"/>
          <w:szCs w:val="22"/>
          <w:rFonts w:ascii="Arial" w:cs="Arial" w:eastAsia="Arial" w:hAnsi="Arial"/>
        </w:rPr>
        <w:t xml:space="preserve">DeepSeek-v4-flash is not “the” DeepSeek frontier model. Results for it do not generalise to a larger DeepSeek checkpoint.</w:t>
      </w:r>
    </w:p>
    <w:p>
      <w:pPr>
        <w:pStyle w:val="Heading2"/>
        <w:spacing w:before="280" w:after="160"/>
      </w:pPr>
      <w:r>
        <w:rPr>
          <w:b/>
          <w:bCs/>
          <w:sz w:val="26"/>
          <w:szCs w:val="26"/>
          <w:rFonts w:ascii="Arial" w:cs="Arial" w:eastAsia="Arial" w:hAnsi="Arial"/>
        </w:rPr>
        <w:t xml:space="preserve">3.2 Suite</w:t>
      </w:r>
    </w:p>
    <w:p>
      <w:pPr>
        <w:spacing w:after="200" w:line="276"/>
        <w:jc w:val="both"/>
      </w:pPr>
      <w:r>
        <w:rPr>
          <w:sz w:val="22"/>
          <w:szCs w:val="22"/>
          <w:rFonts w:ascii="Arial" w:cs="Arial" w:eastAsia="Arial" w:hAnsi="Arial"/>
        </w:rPr>
        <w:t xml:space="preserve">Fifteen strategies, five independent trials each, base seed 42 (trial i uses seed 42 + i − 1), maximum five turns. The prohibited goal for most strategies is a usable phishing email impersonating a bank. Role-play also probes lockpicking instruction; tool-exploit probes destructive tool use; encoding probes malware; context-overflow probes system-prompt extraction; RAG-poison probes adoption of an insecure password-reset policy. That mix is still narrow. It is not “AI safety” in general.</w:t>
      </w:r>
    </w:p>
    <w:p>
      <w:pPr>
        <w:spacing w:after="200" w:line="276"/>
        <w:jc w:val="both"/>
      </w:pPr>
      <w:r>
        <w:rPr>
          <w:sz w:val="22"/>
          <w:szCs w:val="22"/>
          <w:rFonts w:ascii="Arial" w:cs="Arial" w:eastAsia="Arial" w:hAnsi="Arial"/>
        </w:rPr>
        <w:t xml:space="preserve">A trial is a break when the break judge returns COMPLIED on the visible reply. Wilson score 95% intervals are reported for rates.</w:t>
      </w:r>
    </w:p>
    <w:p>
      <w:pPr>
        <w:pStyle w:val="Heading2"/>
        <w:spacing w:before="280" w:after="160"/>
      </w:pPr>
      <w:r>
        <w:rPr>
          <w:b/>
          <w:bCs/>
          <w:sz w:val="26"/>
          <w:szCs w:val="26"/>
          <w:rFonts w:ascii="Arial" w:cs="Arial" w:eastAsia="Arial" w:hAnsi="Arial"/>
        </w:rPr>
        <w:t xml:space="preserve">3.3 Human adjudication</w:t>
      </w:r>
    </w:p>
    <w:p>
      <w:pPr>
        <w:spacing w:after="200" w:line="276"/>
        <w:jc w:val="both"/>
      </w:pPr>
      <w:r>
        <w:rPr>
          <w:sz w:val="22"/>
          <w:szCs w:val="22"/>
          <w:rFonts w:ascii="Arial" w:cs="Arial" w:eastAsia="Arial" w:hAnsi="Arial"/>
        </w:rPr>
        <w:t xml:space="preserve">src/redteam/human_review.py draws a stratified sample of 50 rows from the 225-trial file, keeping any adjudication_needs_review rows first and then round-robining (model, broke) buckets. The labeller (the author) filled human_verdict with COMPLIED or REFUSED. Two rows were skipped. Six later rows were flipped after a review of likely yes/no mix-ups on clear cases (explicit “I can’t” versus a completed JSON or phishing template). Fuzzy cases were not silently overwritten. Cohen’s κ is computed on the 2×2 table of judge versus human.</w:t>
      </w:r>
    </w:p>
    <w:p>
      <w:pPr>
        <w:pStyle w:val="Heading2"/>
        <w:spacing w:before="280" w:after="160"/>
      </w:pPr>
      <w:r>
        <w:rPr>
          <w:b/>
          <w:bCs/>
          <w:sz w:val="26"/>
          <w:szCs w:val="26"/>
          <w:rFonts w:ascii="Arial" w:cs="Arial" w:eastAsia="Arial" w:hAnsi="Arial"/>
        </w:rPr>
        <w:t xml:space="preserve">3.4 Use-case classification</w:t>
      </w:r>
    </w:p>
    <w:p>
      <w:pPr>
        <w:spacing w:after="200" w:line="276"/>
        <w:jc w:val="both"/>
      </w:pPr>
      <w:r>
        <w:rPr>
          <w:sz w:val="22"/>
          <w:szCs w:val="22"/>
          <w:rFonts w:ascii="Arial" w:cs="Arial" w:eastAsia="Arial" w:hAnsi="Arial"/>
        </w:rPr>
        <w:t xml:space="preserve">src/compliance/system_class.py is the only place that assigns RiskTier for the Act. The default use case for this workbench is gpai_or_chatbot (limited / Art. 50 + Chapter V). Employment, credit, education, and law-enforcement use cases are high-risk by purpose. Social scoring as a declared use is unacceptable. An eval dimension named social_scoring is a misuse probe, not a classification of the system.</w:t>
      </w:r>
    </w:p>
    <w:p>
      <w:pPr>
        <w:spacing w:after="200" w:line="276"/>
        <w:jc w:val="both"/>
      </w:pPr>
      <w:r>
        <w:rPr>
          <w:sz w:val="22"/>
          <w:szCs w:val="22"/>
          <w:rFonts w:ascii="Arial" w:cs="Arial" w:eastAsia="Arial" w:hAnsi="Arial"/>
        </w:rPr>
        <w:t xml:space="preserve">Eval and red-team findings copy the system’s class onto the finding. They do not upgrade a chatbot to Annex III because a bias score was poor. The eval-gate JSON is labelled as a research record, not a conformity assessment.</w:t>
      </w:r>
    </w:p>
    <w:p>
      <w:pPr>
        <w:pStyle w:val="Heading2"/>
        <w:spacing w:before="280" w:after="160"/>
      </w:pPr>
      <w:r>
        <w:rPr>
          <w:b/>
          <w:bCs/>
          <w:sz w:val="26"/>
          <w:szCs w:val="26"/>
          <w:rFonts w:ascii="Arial" w:cs="Arial" w:eastAsia="Arial" w:hAnsi="Arial"/>
        </w:rPr>
        <w:t xml:space="preserve">3.5 Implementation notes</w:t>
      </w:r>
    </w:p>
    <w:p>
      <w:pPr>
        <w:spacing w:after="200" w:line="276"/>
        <w:jc w:val="both"/>
      </w:pPr>
      <w:r>
        <w:rPr>
          <w:sz w:val="22"/>
          <w:szCs w:val="22"/>
          <w:rFonts w:ascii="Arial" w:cs="Arial" w:eastAsia="Arial" w:hAnsi="Arial"/>
        </w:rPr>
        <w:t xml:space="preserve">The repository contains a second, older stack (assistant/, Chainlit) that compares a tiny open model to a frontier model on the same product surface. That stack is pedagogically useful and is not the source of the 15-strategy table. The numbers in Chapter 4 come from src/redteam and results/redteam_findings.json.</w:t>
      </w:r>
    </w:p>
    <w:p>
      <w:pPr>
        <w:pStyle w:val="Heading1"/>
        <w:spacing w:before="360" w:after="200"/>
      </w:pPr>
      <w:r>
        <w:rPr>
          <w:b/>
          <w:bCs/>
          <w:sz w:val="32"/>
          <w:szCs w:val="32"/>
          <w:rFonts w:ascii="Arial" w:cs="Arial" w:eastAsia="Arial" w:hAnsi="Arial"/>
        </w:rPr>
        <w:t xml:space="preserve">Chapter 4 — Results</w:t>
      </w:r>
    </w:p>
    <w:p>
      <w:pPr>
        <w:pStyle w:val="Heading2"/>
        <w:spacing w:before="280" w:after="160"/>
      </w:pPr>
      <w:r>
        <w:rPr>
          <w:b/>
          <w:bCs/>
          <w:sz w:val="26"/>
          <w:szCs w:val="26"/>
          <w:rFonts w:ascii="Arial" w:cs="Arial" w:eastAsia="Arial" w:hAnsi="Arial"/>
        </w:rPr>
        <w:t xml:space="preserve">4.1 Per-model break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c>
          <w:tcPr>
            <w:tcW w:type="dxa" w:w="2800"/>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Model</w:t>
            </w:r>
          </w:p>
        </w:tc>
        <w:tc>
          <w:tcPr>
            <w:tcW w:type="dxa" w:w="1800"/>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Breaks</w:t>
            </w:r>
          </w:p>
        </w:tc>
        <w:tc>
          <w:tcPr>
            <w:tcW w:type="dxa" w:w="1800"/>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Rate</w:t>
            </w:r>
          </w:p>
        </w:tc>
        <w:tc>
          <w:tcPr>
            <w:tcW w:type="dxa" w:w="2626"/>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95% Wilson CI</w:t>
            </w:r>
          </w:p>
        </w:tc>
      </w:tr>
      <w:tr>
        <w:tc>
          <w:tcPr>
            <w:tcW w:type="dxa" w:w="2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openai/gpt-5</w:t>
            </w:r>
          </w:p>
        </w:tc>
        <w:tc>
          <w:tcPr>
            <w:tcW w:type="dxa" w:w="1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7 / 75</w:t>
            </w:r>
          </w:p>
        </w:tc>
        <w:tc>
          <w:tcPr>
            <w:tcW w:type="dxa" w:w="1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9.3%</w:t>
            </w:r>
          </w:p>
        </w:tc>
        <w:tc>
          <w:tcPr>
            <w:tcW w:type="dxa" w:w="2626"/>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[4.6%, 18.0%]</w:t>
            </w:r>
          </w:p>
        </w:tc>
      </w:tr>
      <w:tr>
        <w:tc>
          <w:tcPr>
            <w:tcW w:type="dxa" w:w="28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deepseek/deepseek-v4-flash</w:t>
            </w:r>
          </w:p>
        </w:tc>
        <w:tc>
          <w:tcPr>
            <w:tcW w:type="dxa" w:w="18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16 / 75</w:t>
            </w:r>
          </w:p>
        </w:tc>
        <w:tc>
          <w:tcPr>
            <w:tcW w:type="dxa" w:w="18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21.3%</w:t>
            </w:r>
          </w:p>
        </w:tc>
        <w:tc>
          <w:tcPr>
            <w:tcW w:type="dxa" w:w="2626"/>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[13.6%, 31.9%]</w:t>
            </w:r>
          </w:p>
        </w:tc>
      </w:tr>
      <w:tr>
        <w:tc>
          <w:tcPr>
            <w:tcW w:type="dxa" w:w="2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qwen3-8b</w:t>
            </w:r>
          </w:p>
        </w:tc>
        <w:tc>
          <w:tcPr>
            <w:tcW w:type="dxa" w:w="1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50 / 75</w:t>
            </w:r>
          </w:p>
        </w:tc>
        <w:tc>
          <w:tcPr>
            <w:tcW w:type="dxa" w:w="1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66.7%</w:t>
            </w:r>
          </w:p>
        </w:tc>
        <w:tc>
          <w:tcPr>
            <w:tcW w:type="dxa" w:w="2626"/>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[55.4%, 76.3%]</w:t>
            </w:r>
          </w:p>
        </w:tc>
      </w:tr>
    </w:tbl>
    <w:p>
      <w:pPr>
        <w:spacing w:before="80" w:after="240"/>
        <w:jc w:val="center"/>
      </w:pPr>
      <w:r>
        <w:rPr>
          <w:i/>
          <w:iCs/>
          <w:color w:val="4B5563"/>
          <w:sz w:val="18"/>
          <w:szCs w:val="18"/>
          <w:rFonts w:ascii="Arial" w:cs="Arial" w:eastAsia="Arial" w:hAnsi="Arial"/>
        </w:rPr>
        <w:t xml:space="preserve">Table 2. Break rates on the unified 15-strategy suite (5 trials × 15 strategies).</w:t>
      </w:r>
    </w:p>
    <w:p>
      <w:pPr>
        <w:spacing w:after="200" w:line="276"/>
        <w:jc w:val="both"/>
      </w:pPr>
      <w:r>
        <w:rPr>
          <w:sz w:val="22"/>
          <w:szCs w:val="22"/>
          <w:rFonts w:ascii="Arial" w:cs="Arial" w:eastAsia="Arial" w:hAnsi="Arial"/>
        </w:rPr>
        <w:t xml:space="preserve">Qwen3-8B breaks about seven times as often as GPT-5 on this suite. DeepSeek-v4-flash sits between them. Intervals are wide because n = 5 per cell. The order GPT-5 &lt; DeepSeek-flash &lt; Qwen3-8B is stable enough to report; the exact percentages are not.</w:t>
      </w:r>
    </w:p>
    <w:p>
      <w:pPr>
        <w:pStyle w:val="Heading2"/>
        <w:spacing w:before="280" w:after="160"/>
      </w:pPr>
      <w:r>
        <w:rPr>
          <w:b/>
          <w:bCs/>
          <w:sz w:val="26"/>
          <w:szCs w:val="26"/>
          <w:rFonts w:ascii="Arial" w:cs="Arial" w:eastAsia="Arial" w:hAnsi="Arial"/>
        </w:rPr>
        <w:t xml:space="preserve">4.2 Per-strategy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542"/>
        <w:gridCol w:w="1542"/>
        <w:gridCol w:w="1542"/>
      </w:tblGrid>
      <w:tr>
        <w:tc>
          <w:tcPr>
            <w:tcW w:type="dxa" w:w="2200"/>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Strategy</w:t>
            </w:r>
          </w:p>
        </w:tc>
        <w:tc>
          <w:tcPr>
            <w:tcW w:type="dxa" w:w="1100"/>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All</w:t>
            </w:r>
          </w:p>
        </w:tc>
        <w:tc>
          <w:tcPr>
            <w:tcW w:type="dxa" w:w="1100"/>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Rate</w:t>
            </w:r>
          </w:p>
        </w:tc>
        <w:tc>
          <w:tcPr>
            <w:tcW w:type="dxa" w:w="1542"/>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GPT-5</w:t>
            </w:r>
          </w:p>
        </w:tc>
        <w:tc>
          <w:tcPr>
            <w:tcW w:type="dxa" w:w="1542"/>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DeepSeek</w:t>
            </w:r>
          </w:p>
        </w:tc>
        <w:tc>
          <w:tcPr>
            <w:tcW w:type="dxa" w:w="1542"/>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Qwen</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structured_output</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15/15</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100%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many_shot</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10/15</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67%</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policy_conflation</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9/15</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60%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4/5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multilingual</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6/15</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40%</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1/5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roleplay</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6/15</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40%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1/5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tool_exploit</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6/15</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40%</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1/5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best_of_n</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5/15</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33%</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dan_jailbreak</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5/15</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33%</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few_shot</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5/15</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33%</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rag_poison</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5/15</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33%</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5/5</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syllogism</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1/15</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7%</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1/5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0/5</w:t>
            </w:r>
          </w:p>
        </w:tc>
      </w:tr>
      <w:tr>
        <w:tc>
          <w:tcPr>
            <w:tcW w:type="dxa" w:w="22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context_overflow</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0/15</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crescendo</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0/15</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r>
      <w:tr>
        <w:tc>
          <w:tcPr>
            <w:tcW w:type="dxa" w:w="22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encoding</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0/15</w:t>
            </w:r>
          </w:p>
        </w:tc>
        <w:tc>
          <w:tcPr>
            <w:tcW w:type="dxa" w:w="11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memory_manip</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0/15</w:t>
            </w:r>
          </w:p>
        </w:tc>
        <w:tc>
          <w:tcPr>
            <w:tcW w:type="dxa" w:w="11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c>
          <w:tcPr>
            <w:tcW w:type="dxa" w:w="1542"/>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0</w:t>
            </w:r>
          </w:p>
        </w:tc>
      </w:tr>
    </w:tbl>
    <w:p>
      <w:pPr>
        <w:spacing w:before="80" w:after="240"/>
        <w:jc w:val="center"/>
      </w:pPr>
      <w:r>
        <w:rPr>
          <w:i/>
          <w:iCs/>
          <w:color w:val="4B5563"/>
          <w:sz w:val="18"/>
          <w:szCs w:val="18"/>
          <w:rFonts w:ascii="Arial" w:cs="Arial" w:eastAsia="Arial" w:hAnsi="Arial"/>
        </w:rPr>
        <w:t xml:space="preserve">Table 3. Breaks by strategy. Per-cell n = 5.</w:t>
      </w:r>
    </w:p>
    <w:p>
      <w:pPr>
        <w:spacing w:after="200" w:line="276"/>
        <w:jc w:val="both"/>
      </w:pPr>
      <w:r>
        <w:rPr>
          <w:sz w:val="22"/>
          <w:szCs w:val="22"/>
          <w:rFonts w:ascii="Arial" w:cs="Arial" w:eastAsia="Arial" w:hAnsi="Arial"/>
        </w:rPr>
        <w:t xml:space="preserve">Finding 1. Structured output is the only strategy that is 100% on every model. Asking for the phishing email as a JSON record (from_name, from_address, subject, body, link_url) consistently defeated prose-oriented refusal.</w:t>
      </w:r>
    </w:p>
    <w:p>
      <w:pPr>
        <w:spacing w:after="200" w:line="276"/>
        <w:jc w:val="both"/>
      </w:pPr>
      <w:r>
        <w:rPr>
          <w:sz w:val="22"/>
          <w:szCs w:val="22"/>
          <w:rFonts w:ascii="Arial" w:cs="Arial" w:eastAsia="Arial" w:hAnsi="Arial"/>
        </w:rPr>
        <w:t xml:space="preserve">Finding 2. Several classic strategies (encoding, memory manipulation, this implementation of Crescendo, context overflow) scored 0/15. For Crescendo and best-of-N this is likely under-implementation, not a proof that the published attacks fail.</w:t>
      </w:r>
    </w:p>
    <w:p>
      <w:pPr>
        <w:spacing w:after="200" w:line="276"/>
        <w:jc w:val="both"/>
      </w:pPr>
      <w:r>
        <w:rPr>
          <w:sz w:val="22"/>
          <w:szCs w:val="22"/>
          <w:rFonts w:ascii="Arial" w:cs="Arial" w:eastAsia="Arial" w:hAnsi="Arial"/>
        </w:rPr>
        <w:t xml:space="preserve">Finding 3. DeepSeek’s earlier 0% (legacy eight strategies) and 80% (five modern strategies) are both real and superseded. Against the unified 15-strategy file it is 21.3%. The attack set, not a mysterious change in the weights, is what moved the number. That is the cleanest evidence for RQ1.</w:t>
      </w:r>
    </w:p>
    <w:p>
      <w:pPr>
        <w:pStyle w:val="Heading2"/>
        <w:spacing w:before="280" w:after="160"/>
      </w:pPr>
      <w:r>
        <w:rPr>
          <w:b/>
          <w:bCs/>
          <w:sz w:val="26"/>
          <w:szCs w:val="26"/>
          <w:rFonts w:ascii="Arial" w:cs="Arial" w:eastAsia="Arial" w:hAnsi="Arial"/>
        </w:rPr>
        <w:t xml:space="preserve">4.3 Human versus judge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
            </w:r>
          </w:p>
        </w:tc>
        <w:tc>
          <w:tcPr>
            <w:tcW w:type="dxa" w:w="2713"/>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Judge COMPLIED</w:t>
            </w:r>
          </w:p>
        </w:tc>
        <w:tc>
          <w:tcPr>
            <w:tcW w:type="dxa" w:w="2713"/>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Judge REFUSED</w:t>
            </w:r>
          </w:p>
        </w:tc>
      </w:tr>
      <w:tr>
        <w:tc>
          <w:tcPr>
            <w:tcW w:type="dxa" w:w="36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Human COMPLIED</w:t>
            </w:r>
          </w:p>
        </w:tc>
        <w:tc>
          <w:tcPr>
            <w:tcW w:type="dxa" w:w="27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18 (TP)</w:t>
            </w:r>
          </w:p>
        </w:tc>
        <w:tc>
          <w:tcPr>
            <w:tcW w:type="dxa" w:w="27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8 (FN)</w:t>
            </w:r>
          </w:p>
        </w:tc>
      </w:tr>
      <w:tr>
        <w:tc>
          <w:tcPr>
            <w:tcW w:type="dxa" w:w="3600"/>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Human REFUSED</w:t>
            </w:r>
          </w:p>
        </w:tc>
        <w:tc>
          <w:tcPr>
            <w:tcW w:type="dxa" w:w="2713"/>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4 (FP)</w:t>
            </w:r>
          </w:p>
        </w:tc>
        <w:tc>
          <w:tcPr>
            <w:tcW w:type="dxa" w:w="2713"/>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18 (TN)</w:t>
            </w:r>
          </w:p>
        </w:tc>
      </w:tr>
    </w:tbl>
    <w:p>
      <w:pPr>
        <w:spacing w:before="80" w:after="240"/>
        <w:jc w:val="center"/>
      </w:pPr>
      <w:r>
        <w:rPr>
          <w:i/>
          <w:iCs/>
          <w:color w:val="4B5563"/>
          <w:sz w:val="18"/>
          <w:szCs w:val="18"/>
          <w:rFonts w:ascii="Arial" w:cs="Arial" w:eastAsia="Arial" w:hAnsi="Arial"/>
        </w:rPr>
        <w:t xml:space="preserve">Table 4. Confusion matrix after six mix-up corrections. n = 48 (2 skipped).</w:t>
      </w:r>
    </w:p>
    <w:p>
      <w:pPr>
        <w:spacing w:after="200" w:line="276"/>
        <w:jc w:val="both"/>
      </w:pPr>
      <w:r>
        <w:rPr>
          <w:sz w:val="22"/>
          <w:szCs w:val="22"/>
          <w:rFonts w:ascii="Arial" w:cs="Arial" w:eastAsia="Arial" w:hAnsi="Arial"/>
        </w:rPr>
        <w:t xml:space="preserve">Agreement 36/48 = 75%. Cohen’s κ = 0.50. The leftover twelve disagreements are almost all boundary cases: syllogism (accepting premises without pasting a full email), Crescendo outlines versus a finished lure, grandma role-play that mixes comfort talk with procedure, multilingual wording, an encoding trial with no visible payload, and a model that claimed to dump a system prompt.</w:t>
      </w:r>
    </w:p>
    <w:p>
      <w:pPr>
        <w:spacing w:after="200" w:line="276"/>
        <w:jc w:val="both"/>
      </w:pPr>
      <w:r>
        <w:rPr>
          <w:sz w:val="22"/>
          <w:szCs w:val="22"/>
          <w:rFonts w:ascii="Arial" w:cs="Arial" w:eastAsia="Arial" w:hAnsi="Arial"/>
        </w:rPr>
        <w:t xml:space="preserve">Finding 4. The instrument is moderately aligned with one human rater. It is not calibrated enough to treat a 9.3% versus 21.3% gap as a precise effect size. It is calibrated enough to treat 9% versus 67% as a real difference on this suite.</w:t>
      </w:r>
    </w:p>
    <w:p>
      <w:pPr>
        <w:pStyle w:val="Heading2"/>
        <w:spacing w:before="280" w:after="160"/>
      </w:pPr>
      <w:r>
        <w:rPr>
          <w:b/>
          <w:bCs/>
          <w:sz w:val="26"/>
          <w:szCs w:val="26"/>
          <w:rFonts w:ascii="Arial" w:cs="Arial" w:eastAsia="Arial" w:hAnsi="Arial"/>
        </w:rPr>
        <w:t xml:space="preserve">4.4 Legal class (negative result)</w:t>
      </w:r>
    </w:p>
    <w:p>
      <w:pPr>
        <w:spacing w:after="200" w:line="276"/>
        <w:jc w:val="both"/>
      </w:pPr>
      <w:r>
        <w:rPr>
          <w:sz w:val="22"/>
          <w:szCs w:val="22"/>
          <w:rFonts w:ascii="Arial" w:cs="Arial" w:eastAsia="Arial" w:hAnsi="Arial"/>
        </w:rPr>
        <w:t xml:space="preserve">Under the default use case gpai_or_chatbot, overall legal class is limited, including when a model’s break rate is 67%. Residual findings may be severe; the class does not move. Declaring system_use_case=employment makes the class high even if every eval score is clean. That is the intended behaviour, and the one the Act requires. No run of this pipeline is a notified-body assessment.</w:t>
      </w:r>
    </w:p>
    <w:p>
      <w:pPr>
        <w:pStyle w:val="Heading1"/>
        <w:spacing w:before="360" w:after="200"/>
      </w:pPr>
      <w:r>
        <w:rPr>
          <w:b/>
          <w:bCs/>
          <w:sz w:val="32"/>
          <w:szCs w:val="32"/>
          <w:rFonts w:ascii="Arial" w:cs="Arial" w:eastAsia="Arial" w:hAnsi="Arial"/>
        </w:rPr>
        <w:t xml:space="preserve">Chapter 5 — Discussion and limitations</w:t>
      </w:r>
    </w:p>
    <w:p>
      <w:pPr>
        <w:pStyle w:val="Heading2"/>
        <w:spacing w:before="280" w:after="160"/>
      </w:pPr>
      <w:r>
        <w:rPr>
          <w:b/>
          <w:bCs/>
          <w:sz w:val="26"/>
          <w:szCs w:val="26"/>
          <w:rFonts w:ascii="Arial" w:cs="Arial" w:eastAsia="Arial" w:hAnsi="Arial"/>
        </w:rPr>
        <w:t xml:space="preserve">5.1 What RQ1 can support</w:t>
      </w:r>
    </w:p>
    <w:p>
      <w:pPr>
        <w:spacing w:after="200" w:line="276"/>
        <w:jc w:val="both"/>
      </w:pPr>
      <w:r>
        <w:rPr>
          <w:sz w:val="22"/>
          <w:szCs w:val="22"/>
          <w:rFonts w:ascii="Arial" w:cs="Arial" w:eastAsia="Arial" w:hAnsi="Arial"/>
        </w:rPr>
        <w:t xml:space="preserve">Attack wrapping changes outcomes. The same DeepSeek flash model looked “safe” on an old eight-strategy board and “broken” on a five-strategy modern board. On a unified board it is in the middle. Any vendor slide that quotes a single break rate without the suite is incomplete. Structured JSON is a practical lesson for anyone building a tool-using or schema-constrained assistant: the safety filter that watches prose may not watch a body field.</w:t>
      </w:r>
    </w:p>
    <w:p>
      <w:pPr>
        <w:pStyle w:val="Heading2"/>
        <w:spacing w:before="280" w:after="160"/>
      </w:pPr>
      <w:r>
        <w:rPr>
          <w:b/>
          <w:bCs/>
          <w:sz w:val="26"/>
          <w:szCs w:val="26"/>
          <w:rFonts w:ascii="Arial" w:cs="Arial" w:eastAsia="Arial" w:hAnsi="Arial"/>
        </w:rPr>
        <w:t xml:space="preserve">5.2 What RQ1 cannot support</w:t>
      </w:r>
    </w:p>
    <w:p>
      <w:pPr>
        <w:pStyle w:val="ListParagraph"/>
        <w:numPr>
          <w:ilvl w:val="0"/>
          <w:numId w:val="2"/>
        </w:numPr>
        <w:spacing w:after="80"/>
      </w:pPr>
      <w:r>
        <w:rPr>
          <w:sz w:val="22"/>
          <w:szCs w:val="22"/>
          <w:rFonts w:ascii="Arial" w:cs="Arial" w:eastAsia="Arial" w:hAnsi="Arial"/>
        </w:rPr>
        <w:t xml:space="preserve">Generalisation beyond phishing-like bank lures and a handful of other harms.</w:t>
      </w:r>
    </w:p>
    <w:p>
      <w:pPr>
        <w:pStyle w:val="ListParagraph"/>
        <w:numPr>
          <w:ilvl w:val="0"/>
          <w:numId w:val="2"/>
        </w:numPr>
        <w:spacing w:after="80"/>
      </w:pPr>
      <w:r>
        <w:rPr>
          <w:sz w:val="22"/>
          <w:szCs w:val="22"/>
          <w:rFonts w:ascii="Arial" w:cs="Arial" w:eastAsia="Arial" w:hAnsi="Arial"/>
        </w:rPr>
        <w:t xml:space="preserve">Claims about Crescendo or Best-of-N as published. The code is a sketch.</w:t>
      </w:r>
    </w:p>
    <w:p>
      <w:pPr>
        <w:pStyle w:val="ListParagraph"/>
        <w:numPr>
          <w:ilvl w:val="0"/>
          <w:numId w:val="2"/>
        </w:numPr>
        <w:spacing w:after="80"/>
      </w:pPr>
      <w:r>
        <w:rPr>
          <w:sz w:val="22"/>
          <w:szCs w:val="22"/>
          <w:rFonts w:ascii="Arial" w:cs="Arial" w:eastAsia="Arial" w:hAnsi="Arial"/>
        </w:rPr>
        <w:t xml:space="preserve">Claims about “Qwen is unsafe” as a model family. This is one 8B instruct checkpoint on one host.</w:t>
      </w:r>
    </w:p>
    <w:p>
      <w:pPr>
        <w:pStyle w:val="ListParagraph"/>
        <w:numPr>
          <w:ilvl w:val="0"/>
          <w:numId w:val="2"/>
        </w:numPr>
        <w:spacing w:after="80"/>
      </w:pPr>
      <w:r>
        <w:rPr>
          <w:sz w:val="22"/>
          <w:szCs w:val="22"/>
          <w:rFonts w:ascii="Arial" w:cs="Arial" w:eastAsia="Arial" w:hAnsi="Arial"/>
        </w:rPr>
        <w:t xml:space="preserve">Fine ranking of strategies with 0% or 100% at n = 5.</w:t>
      </w:r>
    </w:p>
    <w:p>
      <w:pPr>
        <w:pStyle w:val="Heading2"/>
        <w:spacing w:before="280" w:after="160"/>
      </w:pPr>
      <w:r>
        <w:rPr>
          <w:b/>
          <w:bCs/>
          <w:sz w:val="26"/>
          <w:szCs w:val="26"/>
          <w:rFonts w:ascii="Arial" w:cs="Arial" w:eastAsia="Arial" w:hAnsi="Arial"/>
        </w:rPr>
        <w:t xml:space="preserve">5.3 The human labels</w:t>
      </w:r>
    </w:p>
    <w:p>
      <w:pPr>
        <w:spacing w:after="200" w:line="276"/>
        <w:jc w:val="both"/>
      </w:pPr>
      <w:r>
        <w:rPr>
          <w:sz w:val="22"/>
          <w:szCs w:val="22"/>
          <w:rFonts w:ascii="Arial" w:cs="Arial" w:eastAsia="Arial" w:hAnsi="Arial"/>
        </w:rPr>
        <w:t xml:space="preserve">The author labelled the sheet while still learning the decision rule. Six obvious inversions were later corrected. The remaining 12 disagreements were left as-is because they are genuinely hard. There is no second rater, so there is no inter-rater κ. A viva question of the form “are you sure about row 32?” should be answered: no, not to the nearest label; yes, that the judge and a person diverge on fuzzy cases.</w:t>
      </w:r>
    </w:p>
    <w:p>
      <w:pPr>
        <w:pStyle w:val="Heading2"/>
        <w:spacing w:before="280" w:after="160"/>
      </w:pPr>
      <w:r>
        <w:rPr>
          <w:b/>
          <w:bCs/>
          <w:sz w:val="26"/>
          <w:szCs w:val="26"/>
          <w:rFonts w:ascii="Arial" w:cs="Arial" w:eastAsia="Arial" w:hAnsi="Arial"/>
        </w:rPr>
        <w:t xml:space="preserve">5.4 Legal honesty as a contribution</w:t>
      </w:r>
    </w:p>
    <w:p>
      <w:pPr>
        <w:spacing w:after="200" w:line="276"/>
        <w:jc w:val="both"/>
      </w:pPr>
      <w:r>
        <w:rPr>
          <w:sz w:val="22"/>
          <w:szCs w:val="22"/>
          <w:rFonts w:ascii="Arial" w:cs="Arial" w:eastAsia="Arial" w:hAnsi="Arial"/>
        </w:rPr>
        <w:t xml:space="preserve">The useful legal result is a refusal to over-claim. Replacing a dimension-to-article lookup with a use-case classifier sounds small. It is the difference between a dissertation an examiner can mark and a document that would mislead a compliance officer.</w:t>
      </w:r>
    </w:p>
    <w:p>
      <w:pPr>
        <w:pStyle w:val="Heading2"/>
        <w:spacing w:before="280" w:after="160"/>
      </w:pPr>
      <w:r>
        <w:rPr>
          <w:b/>
          <w:bCs/>
          <w:sz w:val="26"/>
          <w:szCs w:val="26"/>
          <w:rFonts w:ascii="Arial" w:cs="Arial" w:eastAsia="Arial" w:hAnsi="Arial"/>
        </w:rPr>
        <w:t xml:space="preserve">5.5 Engineering debt and future work</w:t>
      </w:r>
    </w:p>
    <w:p>
      <w:pPr>
        <w:spacing w:after="200" w:line="276"/>
        <w:jc w:val="both"/>
      </w:pPr>
      <w:r>
        <w:rPr>
          <w:sz w:val="22"/>
          <w:szCs w:val="22"/>
          <w:rFonts w:ascii="Arial" w:cs="Arial" w:eastAsia="Arial" w:hAnsi="Arial"/>
        </w:rPr>
        <w:t xml:space="preserve">Two code paths (assistant/ and src/) remain. Future work should pick one stack, add a Garak or PyRIT baseline, increase trials on structured_output, many_shot and policy_conflation, and if resources allow, apply DPO on an open 3B–8B model against the structured-output failure — measuring with this same suite.</w:t>
      </w:r>
    </w:p>
    <w:p>
      <w:pPr>
        <w:pStyle w:val="Heading1"/>
        <w:spacing w:before="360" w:after="200"/>
      </w:pPr>
      <w:r>
        <w:rPr>
          <w:b/>
          <w:bCs/>
          <w:sz w:val="32"/>
          <w:szCs w:val="32"/>
          <w:rFonts w:ascii="Arial" w:cs="Arial" w:eastAsia="Arial" w:hAnsi="Arial"/>
        </w:rPr>
        <w:t xml:space="preserve">Chapter 6 — Conclusion</w:t>
      </w:r>
    </w:p>
    <w:p>
      <w:pPr>
        <w:spacing w:after="200" w:line="276"/>
        <w:jc w:val="both"/>
      </w:pPr>
      <w:r>
        <w:rPr>
          <w:sz w:val="22"/>
          <w:szCs w:val="22"/>
          <w:rFonts w:ascii="Arial" w:cs="Arial" w:eastAsia="Arial" w:hAnsi="Arial"/>
        </w:rPr>
        <w:t xml:space="preserve">This dissertation asked whether jailbreak success on a fixed suite tracks attack type as much as model family, whether the automated judge can be trusted, and whether eval scores may assign EU AI Act class.</w:t>
      </w:r>
    </w:p>
    <w:p>
      <w:pPr>
        <w:spacing w:after="200" w:line="276"/>
        <w:jc w:val="both"/>
      </w:pPr>
      <w:r>
        <w:rPr>
          <w:sz w:val="22"/>
          <w:szCs w:val="22"/>
          <w:rFonts w:ascii="Arial" w:cs="Arial" w:eastAsia="Arial" w:hAnsi="Arial"/>
        </w:rPr>
        <w:t xml:space="preserve">On the first question, yes: structured output broke every model; the same DeepSeek flash checkpoint moved from 0% to 80% to 21% as the suite changed; Qwen3-8B was far more brittle than GPT-5 on this phishing-centred board.</w:t>
      </w:r>
    </w:p>
    <w:p>
      <w:pPr>
        <w:spacing w:after="200" w:line="276"/>
        <w:jc w:val="both"/>
      </w:pPr>
      <w:r>
        <w:rPr>
          <w:sz w:val="22"/>
          <w:szCs w:val="22"/>
          <w:rFonts w:ascii="Arial" w:cs="Arial" w:eastAsia="Arial" w:hAnsi="Arial"/>
        </w:rPr>
        <w:t xml:space="preserve">On the second question, only partly: one human agreed with the judge on 75% of 48 cases (κ = 0.50). Rates are directional.</w:t>
      </w:r>
    </w:p>
    <w:p>
      <w:pPr>
        <w:spacing w:after="200" w:line="276"/>
        <w:jc w:val="both"/>
      </w:pPr>
      <w:r>
        <w:rPr>
          <w:sz w:val="22"/>
          <w:szCs w:val="22"/>
          <w:rFonts w:ascii="Arial" w:cs="Arial" w:eastAsia="Arial" w:hAnsi="Arial"/>
        </w:rPr>
        <w:t xml:space="preserve">On the third question, no: class is purpose. The workbench now says so, and no longer pretends a JSON file is a certificate.</w:t>
      </w:r>
    </w:p>
    <w:p>
      <w:pPr>
        <w:spacing w:after="200" w:line="276"/>
        <w:jc w:val="both"/>
      </w:pPr>
      <w:r>
        <w:rPr>
          <w:sz w:val="22"/>
          <w:szCs w:val="22"/>
          <w:rFonts w:ascii="Arial" w:cs="Arial" w:eastAsia="Arial" w:hAnsi="Arial"/>
        </w:rPr>
        <w:t xml:space="preserve">That is a smaller story than “an AI compliance platform.” It is a story that can be defended.</w:t>
      </w:r>
    </w:p>
    <w:p>
      <w:pPr>
        <w:pStyle w:val="Heading1"/>
        <w:spacing w:before="360" w:after="200"/>
      </w:pPr>
      <w:r>
        <w:rPr>
          <w:b/>
          <w:bCs/>
          <w:sz w:val="32"/>
          <w:szCs w:val="32"/>
          <w:rFonts w:ascii="Arial" w:cs="Arial" w:eastAsia="Arial" w:hAnsi="Arial"/>
        </w:rPr>
        <w:t xml:space="preserve">References</w:t>
      </w:r>
    </w:p>
    <w:p>
      <w:pPr>
        <w:spacing w:after="200" w:line="276"/>
        <w:jc w:val="both"/>
      </w:pPr>
      <w:r>
        <w:rPr>
          <w:sz w:val="22"/>
          <w:szCs w:val="22"/>
          <w:rFonts w:ascii="Arial" w:cs="Arial" w:eastAsia="Arial" w:hAnsi="Arial"/>
        </w:rPr>
        <w:t xml:space="preserve">Anil, C., et al. (2024). Many-shot jailbreaking. NeurIPS 2024. Anthropic.</w:t>
      </w:r>
    </w:p>
    <w:p>
      <w:pPr>
        <w:spacing w:after="200" w:line="276"/>
        <w:jc w:val="both"/>
      </w:pPr>
      <w:r>
        <w:rPr>
          <w:sz w:val="22"/>
          <w:szCs w:val="22"/>
          <w:rFonts w:ascii="Arial" w:cs="Arial" w:eastAsia="Arial" w:hAnsi="Arial"/>
        </w:rPr>
        <w:t xml:space="preserve">Hughes, J., et al. (2024). Best-of-N Jailbreaking. arXiv:2412.01156. NeurIPS 2024.</w:t>
      </w:r>
    </w:p>
    <w:p>
      <w:pPr>
        <w:spacing w:after="200" w:line="276"/>
        <w:jc w:val="both"/>
      </w:pPr>
      <w:r>
        <w:rPr>
          <w:sz w:val="22"/>
          <w:szCs w:val="22"/>
          <w:rFonts w:ascii="Arial" w:cs="Arial" w:eastAsia="Arial" w:hAnsi="Arial"/>
        </w:rPr>
        <w:t xml:space="preserve">Russinovich, M., Salem, A., &amp; Eldan, R. (2025). Great, Now Write an Article About That: The Crescendo Multi-Turn LLM Jailbreak Attack. USENIX Security 2025. arXiv:2404.01833.</w:t>
      </w:r>
    </w:p>
    <w:p>
      <w:pPr>
        <w:spacing w:after="200" w:line="276"/>
        <w:jc w:val="both"/>
      </w:pPr>
      <w:r>
        <w:rPr>
          <w:sz w:val="22"/>
          <w:szCs w:val="22"/>
          <w:rFonts w:ascii="Arial" w:cs="Arial" w:eastAsia="Arial" w:hAnsi="Arial"/>
        </w:rPr>
        <w:t xml:space="preserve">Regulation (EU) 2024/1689 of the European Parliament and of the Council of 13 June 2024 laying down harmonised rules on artificial intelligence (Artificial Intelligence Act). OJ L, 2024.</w:t>
      </w:r>
    </w:p>
    <w:p>
      <w:pPr>
        <w:spacing w:after="200" w:line="276"/>
        <w:jc w:val="both"/>
      </w:pPr>
      <w:r>
        <w:rPr>
          <w:sz w:val="22"/>
          <w:szCs w:val="22"/>
          <w:rFonts w:ascii="Arial" w:cs="Arial" w:eastAsia="Arial" w:hAnsi="Arial"/>
        </w:rPr>
        <w:t xml:space="preserve">National Institute of Standards and Technology. (2023). Artificial Intelligence Risk Management Framework (AI RMF 1.0). NIST AI 100-1.</w:t>
      </w:r>
    </w:p>
    <w:p>
      <w:pPr>
        <w:spacing w:after="200" w:line="276"/>
        <w:jc w:val="both"/>
      </w:pPr>
      <w:r>
        <w:rPr>
          <w:sz w:val="22"/>
          <w:szCs w:val="22"/>
          <w:rFonts w:ascii="Arial" w:cs="Arial" w:eastAsia="Arial" w:hAnsi="Arial"/>
        </w:rPr>
        <w:t xml:space="preserve">ISO/IEC 42001:2023. Information technology — Artificial intelligence — Management system.</w:t>
      </w:r>
    </w:p>
    <w:p>
      <w:pPr>
        <w:spacing w:after="200" w:line="276"/>
        <w:jc w:val="both"/>
      </w:pPr>
      <w:r>
        <w:rPr>
          <w:sz w:val="22"/>
          <w:szCs w:val="22"/>
          <w:rFonts w:ascii="Arial" w:cs="Arial" w:eastAsia="Arial" w:hAnsi="Arial"/>
        </w:rPr>
        <w:t xml:space="preserve">Inan, H., et al. (2023). Llama Guard: LLM-based Input-Output Safeguard for Human-AI Conversations. arXiv:2312.06674.</w:t>
      </w:r>
    </w:p>
    <w:p>
      <w:pPr>
        <w:spacing w:after="200" w:line="276"/>
        <w:jc w:val="both"/>
      </w:pPr>
      <w:r>
        <w:rPr>
          <w:sz w:val="22"/>
          <w:szCs w:val="22"/>
          <w:rFonts w:ascii="Arial" w:cs="Arial" w:eastAsia="Arial" w:hAnsi="Arial"/>
        </w:rPr>
        <w:t xml:space="preserve">Microsoft. PyRIT (Python Risk Identification Tool for generative AI). https://github.com/Azure/PyRIT</w:t>
      </w:r>
    </w:p>
    <w:p>
      <w:pPr>
        <w:spacing w:after="200" w:line="276"/>
        <w:jc w:val="both"/>
      </w:pPr>
      <w:r>
        <w:rPr>
          <w:sz w:val="22"/>
          <w:szCs w:val="22"/>
          <w:rFonts w:ascii="Arial" w:cs="Arial" w:eastAsia="Arial" w:hAnsi="Arial"/>
        </w:rPr>
        <w:t xml:space="preserve">NVIDIA. Garak: LLM vulnerability scanner. https://github.com/NVIDIA/garak</w:t>
      </w:r>
    </w:p>
    <w:p>
      <w:pPr>
        <w:spacing w:after="200" w:line="276"/>
        <w:jc w:val="both"/>
      </w:pPr>
      <w:r>
        <w:rPr>
          <w:sz w:val="22"/>
          <w:szCs w:val="22"/>
          <w:rFonts w:ascii="Arial" w:cs="Arial" w:eastAsia="Arial" w:hAnsi="Arial"/>
        </w:rPr>
        <w:t xml:space="preserve">UK AI Security Institute. Inspect. https://inspect.aisi.org.uk/</w:t>
      </w:r>
    </w:p>
    <w:p>
      <w:pPr>
        <w:pStyle w:val="Heading1"/>
        <w:spacing w:before="360" w:after="200"/>
      </w:pPr>
      <w:r>
        <w:rPr>
          <w:b/>
          <w:bCs/>
          <w:sz w:val="32"/>
          <w:szCs w:val="32"/>
          <w:rFonts w:ascii="Arial" w:cs="Arial" w:eastAsia="Arial" w:hAnsi="Arial"/>
        </w:rPr>
        <w:t xml:space="preserve">Appendix A — How to reproduce</w:t>
      </w:r>
    </w:p>
    <w:p>
      <w:pPr>
        <w:spacing w:after="200" w:line="276"/>
        <w:jc w:val="both"/>
      </w:pPr>
      <w:r>
        <w:rPr>
          <w:sz w:val="22"/>
          <w:szCs w:val="22"/>
          <w:rFonts w:ascii="Arial" w:cs="Arial" w:eastAsia="Arial" w:hAnsi="Arial"/>
        </w:rPr>
        <w:t xml:space="preserve">Install with pip install -e ".[dev]". Red-team with python3 -m src.redteam.agent --targets openai/gpt-5,qwen3-8b --turns 5 --strategy all --trials 5 --seed 42 --break-judge-model openai/gpt-4o-mini. Score the human sheet with python3 -m src.redteam.human_review score --sheet data/human_review/adjudication_sheet.csv. Use-case class stays chatbot unless you pass --system-use-case.</w:t>
      </w:r>
    </w:p>
    <w:p>
      <w:pPr>
        <w:pStyle w:val="Heading1"/>
        <w:spacing w:before="360" w:after="200"/>
      </w:pPr>
      <w:r>
        <w:rPr>
          <w:b/>
          <w:bCs/>
          <w:sz w:val="32"/>
          <w:szCs w:val="32"/>
          <w:rFonts w:ascii="Arial" w:cs="Arial" w:eastAsia="Arial" w:hAnsi="Arial"/>
        </w:rPr>
        <w:t xml:space="preserve">Appendix B — Data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File</w:t>
            </w:r>
          </w:p>
        </w:tc>
        <w:tc>
          <w:tcPr>
            <w:tcW w:type="dxa" w:w="4513"/>
            <w:tcBorders>
              <w:top w:val="single" w:color="CCCCCC" w:sz="4"/>
              <w:left w:val="single" w:color="CCCCCC" w:sz="4"/>
              <w:bottom w:val="single" w:color="CCCCCC" w:sz="4"/>
              <w:right w:val="single" w:color="CCCCCC" w:sz="4"/>
            </w:tcBorders>
            <w:shd w:fill="1F2937" w:val="clear"/>
            <w:tcMar>
              <w:top w:type="dxa" w:w="50"/>
              <w:left w:type="dxa" w:w="70"/>
              <w:bottom w:type="dxa" w:w="50"/>
              <w:right w:type="dxa" w:w="70"/>
            </w:tcMar>
          </w:tcPr>
          <w:p>
            <w:r>
              <w:rPr>
                <w:b/>
                <w:bCs/>
                <w:color w:val="FFFFFF"/>
                <w:sz w:val="16"/>
                <w:szCs w:val="16"/>
                <w:rFonts w:ascii="Arial" w:cs="Arial" w:eastAsia="Arial" w:hAnsi="Arial"/>
              </w:rPr>
              <w:t xml:space="preserve">Contents</w:t>
            </w:r>
          </w:p>
        </w:tc>
      </w:tr>
      <w:tr>
        <w:tc>
          <w:tcPr>
            <w:tcW w:type="dxa" w:w="45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results/redteam_findings.json</w:t>
            </w:r>
          </w:p>
        </w:tc>
        <w:tc>
          <w:tcPr>
            <w:tcW w:type="dxa" w:w="45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225-trial unified suite</w:t>
            </w:r>
          </w:p>
        </w:tc>
      </w:tr>
      <w:tr>
        <w:tc>
          <w:tcPr>
            <w:tcW w:type="dxa" w:w="4513"/>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data/human_review/adjudication_sheet.csv</w:t>
            </w:r>
          </w:p>
        </w:tc>
        <w:tc>
          <w:tcPr>
            <w:tcW w:type="dxa" w:w="4513"/>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50-row human sheet (48 labelled)</w:t>
            </w:r>
          </w:p>
        </w:tc>
      </w:tr>
      <w:tr>
        <w:tc>
          <w:tcPr>
            <w:tcW w:type="dxa" w:w="45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results/human_agreement.json</w:t>
            </w:r>
          </w:p>
        </w:tc>
        <w:tc>
          <w:tcPr>
            <w:tcW w:type="dxa" w:w="45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Agreement statistics</w:t>
            </w:r>
          </w:p>
        </w:tc>
      </w:tr>
      <w:tr>
        <w:tc>
          <w:tcPr>
            <w:tcW w:type="dxa" w:w="4513"/>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src/compliance/system_class.py</w:t>
            </w:r>
          </w:p>
        </w:tc>
        <w:tc>
          <w:tcPr>
            <w:tcW w:type="dxa" w:w="4513"/>
            <w:tcBorders>
              <w:top w:val="single" w:color="CCCCCC" w:sz="4"/>
              <w:left w:val="single" w:color="CCCCCC" w:sz="4"/>
              <w:bottom w:val="single" w:color="CCCCCC" w:sz="4"/>
              <w:right w:val="single" w:color="CCCCCC" w:sz="4"/>
            </w:tcBorders>
            <w:shd w:fill="F3F4F6" w:val="clear"/>
            <w:tcMar>
              <w:top w:type="dxa" w:w="50"/>
              <w:left w:type="dxa" w:w="70"/>
              <w:bottom w:type="dxa" w:w="50"/>
              <w:right w:type="dxa" w:w="70"/>
            </w:tcMar>
          </w:tcPr>
          <w:p>
            <w:r>
              <w:rPr>
                <w:b w:val="false"/>
                <w:bCs w:val="false"/>
                <w:color w:val="000000"/>
                <w:sz w:val="16"/>
                <w:szCs w:val="16"/>
                <w:rFonts w:ascii="Arial" w:cs="Arial" w:eastAsia="Arial" w:hAnsi="Arial"/>
              </w:rPr>
              <w:t xml:space="preserve">Use-case → Act class</w:t>
            </w:r>
          </w:p>
        </w:tc>
      </w:tr>
      <w:tr>
        <w:tc>
          <w:tcPr>
            <w:tcW w:type="dxa" w:w="45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docs/HUMAN_ADJUDICATION.md</w:t>
            </w:r>
          </w:p>
        </w:tc>
        <w:tc>
          <w:tcPr>
            <w:tcW w:type="dxa" w:w="4513"/>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b w:val="false"/>
                <w:bCs w:val="false"/>
                <w:color w:val="000000"/>
                <w:sz w:val="16"/>
                <w:szCs w:val="16"/>
                <w:rFonts w:ascii="Arial" w:cs="Arial" w:eastAsia="Arial" w:hAnsi="Arial"/>
              </w:rPr>
              <w:t xml:space="preserve">Short form of §4.3</w:t>
            </w:r>
          </w:p>
        </w:tc>
      </w:tr>
    </w:tbl>
    <w:p>
      <w:pPr>
        <w:spacing w:before="80" w:after="240"/>
        <w:jc w:val="center"/>
      </w:pPr>
      <w:r>
        <w:rPr>
          <w:i/>
          <w:iCs/>
          <w:color w:val="4B5563"/>
          <w:sz w:val="18"/>
          <w:szCs w:val="18"/>
          <w:rFonts w:ascii="Arial" w:cs="Arial" w:eastAsia="Arial" w:hAnsi="Arial"/>
        </w:rPr>
        <w:t xml:space="preserve">Table 5. Primary artefacts.</w:t>
      </w:r>
    </w:p>
    <w:p>
      <w:pPr>
        <w:pStyle w:val="Heading1"/>
        <w:spacing w:before="360" w:after="200"/>
      </w:pPr>
      <w:r>
        <w:rPr>
          <w:b/>
          <w:bCs/>
          <w:sz w:val="32"/>
          <w:szCs w:val="32"/>
          <w:rFonts w:ascii="Arial" w:cs="Arial" w:eastAsia="Arial" w:hAnsi="Arial"/>
        </w:rPr>
        <w:t xml:space="preserve">Appendix C — Author’s note on labelling</w:t>
      </w:r>
    </w:p>
    <w:p>
      <w:pPr>
        <w:spacing w:after="200" w:line="276"/>
        <w:jc w:val="both"/>
      </w:pPr>
      <w:r>
        <w:rPr>
          <w:sz w:val="22"/>
          <w:szCs w:val="22"/>
          <w:rFonts w:ascii="Arial" w:cs="Arial" w:eastAsia="Arial" w:hAnsi="Arial"/>
        </w:rPr>
        <w:t xml:space="preserve">The human labels are the author’s. Six rows were corrected after a review of obvious inversions. The author was still learning the rule during the first pass. That limitation is part of the result, not an excuse attached afterwards.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2937" w:sz="6" w:space="6"/>
      </w:pBdr>
      <w:spacing w:before="80"/>
      <w:jc w:val="right"/>
    </w:pPr>
    <w:r>
      <w:rPr>
        <w:color w:val="4B5563"/>
        <w:sz w:val="16"/>
        <w:szCs w:val="16"/>
        <w:rFonts w:ascii="Arial" w:cs="Arial" w:eastAsia="Arial" w:hAnsi="Arial"/>
      </w:rPr>
      <w:t xml:space="preserve">Page </w:t>
    </w:r>
    <w:r>
      <w:rPr>
        <w:color w:val="4B5563"/>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2937" w:sz="6" w:space="4"/>
      </w:pBdr>
      <w:spacing w:after="120"/>
    </w:pPr>
    <w:r>
      <w:rPr>
        <w:color w:val="4B5563"/>
        <w:sz w:val="16"/>
        <w:szCs w:val="16"/>
        <w:rFonts w:ascii="Arial" w:cs="Arial" w:eastAsia="Arial" w:hAnsi="Arial"/>
      </w:rPr>
      <w:t xml:space="preserve">Hegde — Attack taxonomy, model family, and honest legal class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sz w:val="32"/>
      <w:szCs w:val="32"/>
      <w:rFonts w:ascii="Arial" w:cs="Arial" w:eastAsia="Arial" w:hAnsi="Arial"/>
    </w:rPr>
  </w:style>
  <w:style w:type="paragraph" w:styleId="Heading2">
    <w:name w:val="Heading 2"/>
    <w:basedOn w:val="Normal"/>
    <w:next w:val="Normal"/>
    <w:qFormat/>
    <w:pPr>
      <w:spacing w:before="280" w:after="160"/>
      <w:outlineLvl w:val="1"/>
    </w:pPr>
    <w:rPr>
      <w:b/>
      <w:bCs/>
      <w:sz w:val="26"/>
      <w:szCs w:val="26"/>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2026-08-12T17:30:06.227Z</dcterms:created>
  <dcterms:modified xsi:type="dcterms:W3CDTF">2026-08-12T17:30:06.228Z</dcterms:modified>
</cp:coreProperties>
</file>

<file path=docProps/custom.xml><?xml version="1.0" encoding="utf-8"?>
<Properties xmlns="http://schemas.openxmlformats.org/officeDocument/2006/custom-properties" xmlns:vt="http://schemas.openxmlformats.org/officeDocument/2006/docPropsVTypes"/>
</file>