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613E" w:rsidRPr="00DF613E" w:rsidRDefault="00DF613E" w:rsidP="00DF613E">
      <w:pPr>
        <w:pStyle w:val="ListParagraph"/>
        <w:spacing w:before="40" w:after="40"/>
        <w:ind w:left="560"/>
      </w:pPr>
      <w:r>
        <w:rPr>
          <w:sz w:val="19"/>
          <w:szCs w:val="19"/>
        </w:rPr>
        <w:t>Module 5</w:t>
      </w:r>
    </w:p>
    <w:p w:rsidR="00DF613E" w:rsidRDefault="00DF613E" w:rsidP="00DF613E">
      <w:pPr>
        <w:pStyle w:val="ListParagraph"/>
        <w:numPr>
          <w:ilvl w:val="0"/>
          <w:numId w:val="1"/>
        </w:numPr>
        <w:spacing w:before="40" w:after="40"/>
      </w:pPr>
      <w:r>
        <w:rPr>
          <w:sz w:val="19"/>
          <w:szCs w:val="19"/>
        </w:rPr>
        <w:t xml:space="preserve">Milestone definition </w:t>
      </w:r>
    </w:p>
    <w:p w:rsidR="00DF613E" w:rsidRPr="00DF613E" w:rsidRDefault="00DF613E" w:rsidP="00DF613E">
      <w:pPr>
        <w:pStyle w:val="ListParagraph"/>
        <w:numPr>
          <w:ilvl w:val="0"/>
          <w:numId w:val="1"/>
        </w:numPr>
        <w:spacing w:before="40" w:after="40"/>
      </w:pPr>
      <w:r>
        <w:rPr>
          <w:sz w:val="19"/>
          <w:szCs w:val="19"/>
        </w:rPr>
        <w:t>Multi-phase project support with phase-level budgets and timelines</w:t>
      </w:r>
    </w:p>
    <w:p w:rsidR="00DF613E" w:rsidRDefault="00DF613E" w:rsidP="00DF613E">
      <w:pPr>
        <w:spacing w:before="40" w:after="40"/>
      </w:pPr>
    </w:p>
    <w:p w:rsidR="00DF613E" w:rsidRDefault="00DF613E" w:rsidP="00DF613E">
      <w:pPr>
        <w:spacing w:before="40" w:after="40"/>
      </w:pPr>
    </w:p>
    <w:p w:rsidR="00DF613E" w:rsidRDefault="00DF613E" w:rsidP="00DF613E">
      <w:pPr>
        <w:spacing w:before="40" w:after="40"/>
        <w:ind w:left="560"/>
      </w:pPr>
      <w:r>
        <w:t>Module 6</w:t>
      </w:r>
    </w:p>
    <w:p w:rsidR="00DF613E" w:rsidRDefault="00DF613E" w:rsidP="00DF613E">
      <w:pPr>
        <w:spacing w:before="40" w:after="40"/>
        <w:ind w:left="560"/>
        <w:rPr>
          <w:rFonts w:ascii="Arial" w:eastAsia="Arial" w:hAnsi="Arial" w:cs="Arial"/>
          <w:color w:val="1A1A2E"/>
          <w:sz w:val="19"/>
          <w:szCs w:val="19"/>
        </w:rPr>
      </w:pPr>
      <w:r>
        <w:rPr>
          <w:rFonts w:ascii="Arial" w:eastAsia="Arial" w:hAnsi="Arial" w:cs="Arial"/>
          <w:color w:val="1A1A2E"/>
          <w:sz w:val="19"/>
          <w:szCs w:val="19"/>
        </w:rPr>
        <w:t>The client publishes a tender/bid package including scope of work, technical requirements, BOQ, and evaluation criteria</w:t>
      </w:r>
    </w:p>
    <w:p w:rsidR="00C266D5" w:rsidRDefault="00DF613E" w:rsidP="00DF613E">
      <w:pPr>
        <w:spacing w:before="40" w:after="40"/>
        <w:ind w:left="560"/>
      </w:pPr>
      <w:r>
        <w:rPr>
          <w:rFonts w:ascii="Arial" w:eastAsia="Arial" w:hAnsi="Arial" w:cs="Arial"/>
          <w:color w:val="1A1A2E"/>
          <w:sz w:val="19"/>
          <w:szCs w:val="19"/>
        </w:rPr>
        <w:t>The client publishes a tender/bid package including scope of work, technical requirements, BOQ, and evaluation criteria</w:t>
      </w:r>
    </w:p>
    <w:p w:rsidR="00DF613E" w:rsidRDefault="00DF613E" w:rsidP="00DF613E">
      <w:pPr>
        <w:spacing w:before="40" w:after="40"/>
        <w:ind w:left="560"/>
        <w:rPr>
          <w:rFonts w:ascii="Arial" w:eastAsia="Arial" w:hAnsi="Arial" w:cs="Arial"/>
          <w:color w:val="1A1A2E"/>
          <w:sz w:val="19"/>
          <w:szCs w:val="19"/>
        </w:rPr>
      </w:pPr>
      <w:r>
        <w:rPr>
          <w:rFonts w:ascii="Arial" w:eastAsia="Arial" w:hAnsi="Arial" w:cs="Arial"/>
          <w:color w:val="1A1A2E"/>
          <w:sz w:val="19"/>
          <w:szCs w:val="19"/>
        </w:rPr>
        <w:t>Bid comparison matrix with automatic scoring</w:t>
      </w:r>
    </w:p>
    <w:p w:rsidR="00DF613E" w:rsidRDefault="00DF613E" w:rsidP="00DF613E">
      <w:pPr>
        <w:pStyle w:val="ListParagraph"/>
        <w:numPr>
          <w:ilvl w:val="0"/>
          <w:numId w:val="1"/>
        </w:numPr>
        <w:spacing w:before="40" w:after="40"/>
      </w:pPr>
      <w:r>
        <w:rPr>
          <w:sz w:val="19"/>
          <w:szCs w:val="19"/>
        </w:rPr>
        <w:t>Clarification request and response thread per bid</w:t>
      </w:r>
    </w:p>
    <w:p w:rsidR="00DF613E" w:rsidRDefault="00DF613E" w:rsidP="00DF613E">
      <w:pPr>
        <w:pStyle w:val="ListParagraph"/>
        <w:numPr>
          <w:ilvl w:val="0"/>
          <w:numId w:val="1"/>
        </w:numPr>
        <w:spacing w:before="40" w:after="40"/>
      </w:pPr>
      <w:r>
        <w:rPr>
          <w:sz w:val="19"/>
          <w:szCs w:val="19"/>
        </w:rPr>
        <w:t>Negotiation round support before final award</w:t>
      </w:r>
    </w:p>
    <w:p w:rsidR="00DF613E" w:rsidRDefault="00DF613E" w:rsidP="00DF613E">
      <w:pPr>
        <w:spacing w:before="40" w:after="40"/>
        <w:ind w:left="560"/>
      </w:pPr>
    </w:p>
    <w:p w:rsidR="00DF613E" w:rsidRDefault="00DF613E" w:rsidP="00DF613E">
      <w:pPr>
        <w:spacing w:before="40" w:after="40"/>
        <w:ind w:left="560"/>
      </w:pPr>
      <w:r>
        <w:t>Module 7</w:t>
      </w:r>
    </w:p>
    <w:p w:rsidR="00DF613E" w:rsidRPr="00DF613E" w:rsidRDefault="00DF613E" w:rsidP="00DF613E">
      <w:pPr>
        <w:spacing w:before="40" w:after="40"/>
        <w:ind w:firstLine="560"/>
        <w:rPr>
          <w:rFonts w:ascii="Arial" w:eastAsia="Arial" w:hAnsi="Arial" w:cs="Arial"/>
          <w:color w:val="1A1A2E"/>
          <w:sz w:val="19"/>
          <w:szCs w:val="19"/>
        </w:rPr>
      </w:pPr>
      <w:r>
        <w:rPr>
          <w:rFonts w:ascii="Arial" w:eastAsia="Arial" w:hAnsi="Arial" w:cs="Arial"/>
          <w:color w:val="1A1A2E"/>
          <w:sz w:val="19"/>
          <w:szCs w:val="19"/>
        </w:rPr>
        <w:t xml:space="preserve"> alerts trigger when predecessor tasks are delayed.</w:t>
      </w:r>
    </w:p>
    <w:p w:rsidR="00DF613E" w:rsidRDefault="00DF613E" w:rsidP="00DF613E">
      <w:pPr>
        <w:spacing w:before="40" w:after="40"/>
        <w:ind w:firstLine="560"/>
        <w:rPr>
          <w:rFonts w:ascii="Arial" w:eastAsia="Arial" w:hAnsi="Arial" w:cs="Arial"/>
          <w:color w:val="1A1A2E"/>
          <w:sz w:val="19"/>
          <w:szCs w:val="19"/>
        </w:rPr>
      </w:pPr>
      <w:r>
        <w:rPr>
          <w:rFonts w:ascii="Arial" w:eastAsia="Arial" w:hAnsi="Arial" w:cs="Arial"/>
          <w:color w:val="1A1A2E"/>
          <w:sz w:val="19"/>
          <w:szCs w:val="19"/>
        </w:rPr>
        <w:t>Task completion approval workflow for quality sign-off</w:t>
      </w:r>
    </w:p>
    <w:p w:rsidR="00DF613E" w:rsidRDefault="00DF613E" w:rsidP="00DF613E">
      <w:pPr>
        <w:spacing w:before="40" w:after="40"/>
        <w:ind w:firstLine="560"/>
        <w:rPr>
          <w:rFonts w:ascii="Arial" w:eastAsia="Arial" w:hAnsi="Arial" w:cs="Arial"/>
          <w:color w:val="1A1A2E"/>
          <w:sz w:val="19"/>
          <w:szCs w:val="19"/>
        </w:rPr>
      </w:pPr>
    </w:p>
    <w:p w:rsidR="00DF613E" w:rsidRDefault="00DF613E" w:rsidP="00DF613E">
      <w:pPr>
        <w:spacing w:before="40" w:after="40"/>
        <w:ind w:firstLine="560"/>
        <w:rPr>
          <w:rFonts w:ascii="Arial" w:eastAsia="Arial" w:hAnsi="Arial" w:cs="Arial"/>
          <w:color w:val="1A1A2E"/>
          <w:sz w:val="19"/>
          <w:szCs w:val="19"/>
        </w:rPr>
      </w:pPr>
      <w:r>
        <w:rPr>
          <w:rFonts w:ascii="Arial" w:eastAsia="Arial" w:hAnsi="Arial" w:cs="Arial"/>
          <w:color w:val="1A1A2E"/>
          <w:sz w:val="19"/>
          <w:szCs w:val="19"/>
        </w:rPr>
        <w:t>Module 10</w:t>
      </w:r>
    </w:p>
    <w:p w:rsidR="00DF613E" w:rsidRDefault="00DF613E" w:rsidP="00DF613E">
      <w:pPr>
        <w:pStyle w:val="ListParagraph"/>
        <w:numPr>
          <w:ilvl w:val="0"/>
          <w:numId w:val="1"/>
        </w:numPr>
        <w:spacing w:before="40" w:after="40"/>
      </w:pPr>
      <w:r>
        <w:rPr>
          <w:sz w:val="19"/>
          <w:szCs w:val="19"/>
        </w:rPr>
        <w:t>Vendor registration and onboarding with document verification</w:t>
      </w:r>
    </w:p>
    <w:p w:rsidR="00DF613E" w:rsidRDefault="00DF613E" w:rsidP="00DF613E">
      <w:pPr>
        <w:pStyle w:val="ListParagraph"/>
        <w:numPr>
          <w:ilvl w:val="0"/>
          <w:numId w:val="1"/>
        </w:numPr>
        <w:spacing w:before="40" w:after="40"/>
      </w:pPr>
      <w:r>
        <w:rPr>
          <w:sz w:val="19"/>
          <w:szCs w:val="19"/>
        </w:rPr>
        <w:t>Vendor categorisation by trade, material type, and service</w:t>
      </w:r>
    </w:p>
    <w:p w:rsidR="00DF613E" w:rsidRPr="00DF613E" w:rsidRDefault="00DF613E" w:rsidP="00DF613E">
      <w:pPr>
        <w:pStyle w:val="ListParagraph"/>
        <w:numPr>
          <w:ilvl w:val="0"/>
          <w:numId w:val="1"/>
        </w:numPr>
        <w:spacing w:before="40" w:after="40"/>
      </w:pPr>
      <w:r>
        <w:rPr>
          <w:sz w:val="19"/>
          <w:szCs w:val="19"/>
        </w:rPr>
        <w:t>Preferred vendor list management per project or organisation</w:t>
      </w:r>
    </w:p>
    <w:p w:rsidR="00DF613E" w:rsidRDefault="00DF613E" w:rsidP="00DF613E">
      <w:pPr>
        <w:spacing w:before="40" w:after="40"/>
      </w:pPr>
    </w:p>
    <w:p w:rsidR="00DF613E" w:rsidRDefault="00DF613E" w:rsidP="00DF613E">
      <w:pPr>
        <w:spacing w:before="40" w:after="40"/>
        <w:ind w:left="560"/>
      </w:pPr>
      <w:r>
        <w:t>Module 12</w:t>
      </w:r>
    </w:p>
    <w:p w:rsidR="00DF613E" w:rsidRDefault="00DF613E" w:rsidP="00DF613E">
      <w:pPr>
        <w:spacing w:before="40" w:after="40"/>
        <w:ind w:left="560"/>
        <w:rPr>
          <w:rFonts w:ascii="Arial" w:eastAsia="Arial" w:hAnsi="Arial" w:cs="Arial"/>
          <w:color w:val="1A1A2E"/>
          <w:sz w:val="19"/>
          <w:szCs w:val="19"/>
        </w:rPr>
      </w:pPr>
      <w:r>
        <w:rPr>
          <w:rFonts w:ascii="Arial" w:eastAsia="Arial" w:hAnsi="Arial" w:cs="Arial"/>
          <w:color w:val="1A1A2E"/>
          <w:sz w:val="19"/>
          <w:szCs w:val="19"/>
        </w:rPr>
        <w:t>Workers check in and out via QR code scan, mobile app, or supervisor-recorded entry.</w:t>
      </w:r>
    </w:p>
    <w:p w:rsidR="00C673E7" w:rsidRDefault="00C673E7" w:rsidP="00DF613E">
      <w:pPr>
        <w:spacing w:before="40" w:after="40"/>
        <w:ind w:left="560"/>
        <w:rPr>
          <w:sz w:val="19"/>
          <w:szCs w:val="19"/>
        </w:rPr>
      </w:pPr>
      <w:r>
        <w:rPr>
          <w:sz w:val="19"/>
          <w:szCs w:val="19"/>
        </w:rPr>
        <w:t>Attendance data feeds directly into payroll processing and daily manpower reports. Supervisors can view real-time site headcount and receive alerts for absent workers who are scheduled to work.</w:t>
      </w:r>
    </w:p>
    <w:p w:rsidR="00C673E7" w:rsidRDefault="00C673E7" w:rsidP="00DF613E">
      <w:pPr>
        <w:spacing w:before="40" w:after="40"/>
        <w:ind w:left="560"/>
        <w:rPr>
          <w:sz w:val="19"/>
          <w:szCs w:val="19"/>
        </w:rPr>
      </w:pPr>
      <w:r>
        <w:rPr>
          <w:sz w:val="19"/>
          <w:szCs w:val="19"/>
        </w:rPr>
        <w:t xml:space="preserve">Checkin and checkout with </w:t>
      </w:r>
      <w:r>
        <w:rPr>
          <w:sz w:val="19"/>
          <w:szCs w:val="19"/>
        </w:rPr>
        <w:t>geolocation</w:t>
      </w:r>
    </w:p>
    <w:p w:rsidR="00C673E7" w:rsidRDefault="00C673E7" w:rsidP="00DF613E">
      <w:pPr>
        <w:spacing w:before="40" w:after="40"/>
        <w:ind w:left="560"/>
        <w:rPr>
          <w:sz w:val="19"/>
          <w:szCs w:val="19"/>
        </w:rPr>
      </w:pPr>
    </w:p>
    <w:p w:rsidR="00C673E7" w:rsidRDefault="00C673E7" w:rsidP="00DF613E">
      <w:pPr>
        <w:spacing w:before="40" w:after="40"/>
        <w:ind w:left="560"/>
        <w:rPr>
          <w:sz w:val="19"/>
          <w:szCs w:val="19"/>
        </w:rPr>
      </w:pPr>
      <w:r>
        <w:rPr>
          <w:sz w:val="19"/>
          <w:szCs w:val="19"/>
        </w:rPr>
        <w:t>Module 13</w:t>
      </w:r>
    </w:p>
    <w:p w:rsidR="00C673E7" w:rsidRDefault="00C673E7" w:rsidP="00C673E7">
      <w:pPr>
        <w:spacing w:before="40" w:after="40"/>
        <w:ind w:left="560"/>
      </w:pPr>
      <w:r>
        <w:rPr>
          <w:sz w:val="19"/>
          <w:szCs w:val="19"/>
        </w:rPr>
        <w:t>version-controlled document repository</w:t>
      </w:r>
    </w:p>
    <w:p w:rsidR="00C673E7" w:rsidRDefault="00C673E7" w:rsidP="00C673E7">
      <w:pPr>
        <w:rPr>
          <w:sz w:val="19"/>
          <w:szCs w:val="19"/>
        </w:rPr>
      </w:pPr>
      <w:r>
        <w:rPr>
          <w:sz w:val="19"/>
          <w:szCs w:val="19"/>
        </w:rPr>
        <w:t>Documents are uploaded into a structured folder hierarchy defined per project. Each document is version-controlled, meaning all revisions are retained with timestamps, uploader identity, and change notes. Documents can be shared with specific users or roles. Review and approval workflows can be triggered for critical documents. Auto-expiry alerts are generated for dated documents such as permits and insurance certificates.</w:t>
      </w:r>
    </w:p>
    <w:p w:rsidR="00C673E7" w:rsidRDefault="00C673E7" w:rsidP="00C673E7">
      <w:r>
        <w:rPr>
          <w:sz w:val="19"/>
          <w:szCs w:val="19"/>
        </w:rPr>
        <w:t>Module 15 &amp;16 needs to be done</w:t>
      </w:r>
      <w:bookmarkStart w:id="0" w:name="_GoBack"/>
      <w:bookmarkEnd w:id="0"/>
    </w:p>
    <w:p w:rsidR="00DF613E" w:rsidRPr="00DF613E" w:rsidRDefault="00DF613E" w:rsidP="00DF613E">
      <w:pPr>
        <w:spacing w:before="40" w:after="40"/>
        <w:ind w:firstLine="560"/>
      </w:pPr>
    </w:p>
    <w:sectPr w:rsidR="00DF613E" w:rsidRPr="00DF61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6166" w:rsidRDefault="009E6166" w:rsidP="00DF613E">
      <w:pPr>
        <w:spacing w:after="0" w:line="240" w:lineRule="auto"/>
      </w:pPr>
      <w:r>
        <w:separator/>
      </w:r>
    </w:p>
  </w:endnote>
  <w:endnote w:type="continuationSeparator" w:id="0">
    <w:p w:rsidR="009E6166" w:rsidRDefault="009E6166" w:rsidP="00DF6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6166" w:rsidRDefault="009E6166" w:rsidP="00DF613E">
      <w:pPr>
        <w:spacing w:after="0" w:line="240" w:lineRule="auto"/>
      </w:pPr>
      <w:r>
        <w:separator/>
      </w:r>
    </w:p>
  </w:footnote>
  <w:footnote w:type="continuationSeparator" w:id="0">
    <w:p w:rsidR="009E6166" w:rsidRDefault="009E6166" w:rsidP="00DF61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E1141C"/>
    <w:multiLevelType w:val="hybridMultilevel"/>
    <w:tmpl w:val="6D7CA33A"/>
    <w:lvl w:ilvl="0" w:tplc="8854844A">
      <w:start w:val="1"/>
      <w:numFmt w:val="bullet"/>
      <w:lvlText w:val="•"/>
      <w:lvlJc w:val="left"/>
      <w:pPr>
        <w:ind w:left="560" w:hanging="280"/>
      </w:pPr>
    </w:lvl>
    <w:lvl w:ilvl="1" w:tplc="96FE2290">
      <w:start w:val="1"/>
      <w:numFmt w:val="bullet"/>
      <w:lvlText w:val="◦"/>
      <w:lvlJc w:val="left"/>
      <w:pPr>
        <w:ind w:left="960" w:hanging="280"/>
      </w:pPr>
    </w:lvl>
    <w:lvl w:ilvl="2" w:tplc="686E9F22">
      <w:numFmt w:val="decimal"/>
      <w:lvlText w:val=""/>
      <w:lvlJc w:val="left"/>
    </w:lvl>
    <w:lvl w:ilvl="3" w:tplc="55A05C84">
      <w:numFmt w:val="decimal"/>
      <w:lvlText w:val=""/>
      <w:lvlJc w:val="left"/>
    </w:lvl>
    <w:lvl w:ilvl="4" w:tplc="CAA253D2">
      <w:numFmt w:val="decimal"/>
      <w:lvlText w:val=""/>
      <w:lvlJc w:val="left"/>
    </w:lvl>
    <w:lvl w:ilvl="5" w:tplc="F09ACD6A">
      <w:numFmt w:val="decimal"/>
      <w:lvlText w:val=""/>
      <w:lvlJc w:val="left"/>
    </w:lvl>
    <w:lvl w:ilvl="6" w:tplc="DC1261F4">
      <w:numFmt w:val="decimal"/>
      <w:lvlText w:val=""/>
      <w:lvlJc w:val="left"/>
    </w:lvl>
    <w:lvl w:ilvl="7" w:tplc="27FEC744">
      <w:numFmt w:val="decimal"/>
      <w:lvlText w:val=""/>
      <w:lvlJc w:val="left"/>
    </w:lvl>
    <w:lvl w:ilvl="8" w:tplc="034E3BB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13E"/>
    <w:rsid w:val="009E6166"/>
    <w:rsid w:val="00C266D5"/>
    <w:rsid w:val="00C673E7"/>
    <w:rsid w:val="00DF613E"/>
    <w:rsid w:val="00E26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9EC1"/>
  <w15:chartTrackingRefBased/>
  <w15:docId w15:val="{0DAA362D-7F1D-4DE9-896B-E180F0352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61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613E"/>
  </w:style>
  <w:style w:type="paragraph" w:styleId="Footer">
    <w:name w:val="footer"/>
    <w:basedOn w:val="Normal"/>
    <w:link w:val="FooterChar"/>
    <w:uiPriority w:val="99"/>
    <w:unhideWhenUsed/>
    <w:rsid w:val="00DF61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613E"/>
  </w:style>
  <w:style w:type="paragraph" w:styleId="ListParagraph">
    <w:name w:val="List Paragraph"/>
    <w:qFormat/>
    <w:rsid w:val="00DF613E"/>
    <w:pPr>
      <w:spacing w:after="0" w:line="240" w:lineRule="auto"/>
    </w:pPr>
    <w:rPr>
      <w:rFonts w:ascii="Arial" w:eastAsia="Arial" w:hAnsi="Arial" w:cs="Arial"/>
      <w:color w:val="1A1A2E"/>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OrCon</dc:creator>
  <cp:keywords/>
  <dc:description/>
  <cp:lastModifiedBy>OrCon</cp:lastModifiedBy>
  <cp:revision>1</cp:revision>
  <dcterms:created xsi:type="dcterms:W3CDTF">2026-03-14T13:50:00Z</dcterms:created>
  <dcterms:modified xsi:type="dcterms:W3CDTF">2026-03-14T14:13:00Z</dcterms:modified>
</cp:coreProperties>
</file>