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Digital Forensic Evidence Lifecycle Management System</w:t>
      </w:r>
    </w:p>
    <w:p>
      <w:pPr>
        <w:spacing w:after="40"/>
        <w:jc w:val="center"/>
      </w:pPr>
      <w:r>
        <w:rPr>
          <w:i/>
          <w:iCs/>
          <w:color w:val="555555"/>
          <w:sz w:val="22"/>
          <w:szCs w:val="22"/>
        </w:rPr>
        <w:t xml:space="preserve">University IT Security — Suspected Cyber Incident on WKSTN-14</w:t>
      </w:r>
    </w:p>
    <w:p>
      <w:pPr>
        <w:spacing w:after="300"/>
        <w:jc w:val="center"/>
      </w:pPr>
      <w:r>
        <w:rPr>
          <w:color w:val="555555"/>
          <w:sz w:val="20"/>
          <w:szCs w:val="20"/>
        </w:rPr>
        <w:t xml:space="preserve">Submission Summary — A. Ashwini (Reg. No. 192465065)</w:t>
      </w:r>
    </w:p>
    <w:p>
      <w:pPr>
        <w:pStyle w:val="Heading1"/>
        <w:spacing w:after="150" w:before="300"/>
      </w:pPr>
      <w:r>
        <w:t xml:space="preserve">1. Overview</w:t>
      </w:r>
    </w:p>
    <w:p>
      <w:pPr>
        <w:spacing w:after="160"/>
      </w:pPr>
      <w:r>
        <w:rPr>
          <w:sz w:val="22"/>
          <w:szCs w:val="22"/>
        </w:rPr>
        <w:t xml:space="preserve">The system replaces ad hoc spreadsheets and notes with a single menu-driven Python program (forensic_system.py) that covers the full evidence lifecycle for a simulated compromise of WKSTN-14: evidence registration with SHA-256 intake hashing, chain-of-custody logging, integrity re-verification, baseline-vs-snapshot file validation, multi-source timeline reconstruction, incident analysis, and structured report generation. Data is supplied as CSV exports (converted from the provided .xlsx sources) plus the two provided binary captures (wkstn14_disk.img, wkstn14_ram.raw).</w:t>
      </w:r>
    </w:p>
    <w:p>
      <w:pPr>
        <w:pStyle w:val="Heading1"/>
        <w:spacing w:after="150" w:before="300"/>
      </w:pPr>
      <w:r>
        <w:t xml:space="preserve">2. Deliverable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50"/>
      </w:tblGrid>
      <w:tr>
        <w:tc>
          <w:tcPr>
            <w:tcW w:type="dxa" w:w="700"/>
            <w:tcBorders>
              <w:top w:val="single" w:color="999999" w:sz="4"/>
              <w:left w:val="single" w:color="999999" w:sz="4"/>
              <w:bottom w:val="single" w:color="999999" w:sz="4"/>
              <w:right w:val="single" w:color="999999" w:sz="4"/>
            </w:tcBorders>
            <w:shd w:fill="2F3A56" w:val="clear"/>
            <w:tcMar>
              <w:top w:type="dxa" w:w="80"/>
              <w:left w:type="dxa" w:w="100"/>
              <w:bottom w:type="dxa" w:w="80"/>
              <w:right w:type="dxa" w:w="100"/>
            </w:tcMar>
          </w:tcPr>
          <w:p>
            <w:r>
              <w:rPr>
                <w:b/>
                <w:bCs/>
                <w:color w:val="FFFFFF"/>
                <w:sz w:val="20"/>
                <w:szCs w:val="20"/>
              </w:rPr>
              <w:t xml:space="preserve">#</w:t>
            </w:r>
          </w:p>
        </w:tc>
        <w:tc>
          <w:tcPr>
            <w:tcW w:type="dxa" w:w="4200"/>
            <w:tcBorders>
              <w:top w:val="single" w:color="999999" w:sz="4"/>
              <w:left w:val="single" w:color="999999" w:sz="4"/>
              <w:bottom w:val="single" w:color="999999" w:sz="4"/>
              <w:right w:val="single" w:color="999999" w:sz="4"/>
            </w:tcBorders>
            <w:shd w:fill="2F3A56" w:val="clear"/>
            <w:tcMar>
              <w:top w:type="dxa" w:w="80"/>
              <w:left w:type="dxa" w:w="100"/>
              <w:bottom w:type="dxa" w:w="80"/>
              <w:right w:type="dxa" w:w="100"/>
            </w:tcMar>
          </w:tcPr>
          <w:p>
            <w:r>
              <w:rPr>
                <w:b/>
                <w:bCs/>
                <w:color w:val="FFFFFF"/>
                <w:sz w:val="20"/>
                <w:szCs w:val="20"/>
              </w:rPr>
              <w:t xml:space="preserve">Deliverable</w:t>
            </w:r>
          </w:p>
        </w:tc>
        <w:tc>
          <w:tcPr>
            <w:tcW w:type="dxa" w:w="4450"/>
            <w:tcBorders>
              <w:top w:val="single" w:color="999999" w:sz="4"/>
              <w:left w:val="single" w:color="999999" w:sz="4"/>
              <w:bottom w:val="single" w:color="999999" w:sz="4"/>
              <w:right w:val="single" w:color="999999" w:sz="4"/>
            </w:tcBorders>
            <w:shd w:fill="2F3A56" w:val="clear"/>
            <w:tcMar>
              <w:top w:type="dxa" w:w="80"/>
              <w:left w:type="dxa" w:w="100"/>
              <w:bottom w:type="dxa" w:w="80"/>
              <w:right w:type="dxa" w:w="100"/>
            </w:tcMar>
          </w:tcPr>
          <w:p>
            <w:r>
              <w:rPr>
                <w:b/>
                <w:bCs/>
                <w:color w:val="FFFFFF"/>
                <w:sz w:val="20"/>
                <w:szCs w:val="20"/>
              </w:rPr>
              <w:t xml:space="preserve">Where it's met</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1</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Working menu-driven program, full lifecycle</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run_menu() / run_demo() drive all 7 workflow stages via options 1-8</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2</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Evidence registration: ID, source, date/time, investigator, storage, intake hash</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register_evidence() — rejects duplicate IDs, computes SHA-256 on the actual evidence file</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3</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Chain-of-custody log with full history display</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add_custody_entry() / display_custody_history() — rejects entries for unregistered evidence</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4</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Integrity verification, recompute vs. recorded, flag mismatch</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verify_integrity() — every check appended to verification_log for the report</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5</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Baseline vs. snapshot: missing / new / renamed / modified</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validate_baseline_vs_snapshot() — includes rename detection via hash matching</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6</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Timeline reconstruction from 3+ sources</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reconstruct_timeline() merges auth_log, file_activity_log, network_log by timestamp</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7</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Analysis: earliest suspicious event + related activity, cited</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analyze_incident() returns the exact records used, not a re-typed summary</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8</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Structured report: case info, evidence, custody, findings, conclusions, missing-field flags</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generate_report() builds every section from session data; Section 6 is explicitly interpretation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9</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300-500 word written reflection</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Included below</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10</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Clean commented code + sample data + demonstrated output</w:t>
            </w:r>
          </w:p>
        </w:tc>
        <w:tc>
          <w:tcPr>
            <w:tcW w:type="dxa" w:w="4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sz w:val="20"/>
                <w:szCs w:val="20"/>
              </w:rPr>
              <w:t xml:space="preserve">forensic_system.py, data/, demo_output.txt, edge_case_tests.txt</w:t>
            </w:r>
          </w:p>
        </w:tc>
      </w:tr>
    </w:tbl>
    <w:p>
      <w:pPr>
        <w:pStyle w:val="Heading1"/>
        <w:spacing w:after="150" w:before="300"/>
      </w:pPr>
      <w:r>
        <w:t xml:space="preserve">3. Sample Output</w:t>
      </w:r>
    </w:p>
    <w:p>
      <w:pPr>
        <w:spacing w:after="160"/>
      </w:pPr>
      <w:r>
        <w:rPr>
          <w:sz w:val="22"/>
          <w:szCs w:val="22"/>
        </w:rPr>
        <w:t xml:space="preserve">Running python forensic_system.py --demo executes all seven stages end to end against the sample dataset without error. Excerpt from the generated report:</w:t>
      </w:r>
    </w:p>
    <w:p>
      <w:pPr>
        <w:shd w:fill="F2F2F2" w:val="clear"/>
        <w:spacing w:after="60"/>
      </w:pPr>
      <w:r>
        <w:rPr>
          <w:rFonts w:ascii="Courier New" w:cs="Courier New" w:eastAsia="Courier New" w:hAnsi="Courier New"/>
          <w:sz w:val="18"/>
          <w:szCs w:val="18"/>
        </w:rPr>
        <w:t xml:space="preserve">F1. Earliest suspicious record: 2026-03-10 23:58:02 [AUTH] FAILED_LOGIN — user=jsmith from 203.0.113.44 on WKSTN-14</w:t>
      </w:r>
    </w:p>
    <w:p>
      <w:pPr>
        <w:shd w:fill="F2F2F2" w:val="clear"/>
        <w:spacing w:after="60"/>
      </w:pPr>
      <w:r>
        <w:rPr>
          <w:rFonts w:ascii="Courier New" w:cs="Courier New" w:eastAsia="Courier New" w:hAnsi="Courier New"/>
          <w:sz w:val="18"/>
          <w:szCs w:val="18"/>
        </w:rPr>
        <w:t xml:space="preserve">F9. 2026-03-11 00:18:05 [FILE] CREATED — svc_update.exe by jsmith on WKSTN-14</w:t>
      </w:r>
    </w:p>
    <w:p>
      <w:pPr>
        <w:shd w:fill="F2F2F2" w:val="clear"/>
        <w:spacing w:after="60"/>
      </w:pPr>
      <w:r>
        <w:rPr>
          <w:rFonts w:ascii="Courier New" w:cs="Courier New" w:eastAsia="Courier New" w:hAnsi="Courier New"/>
          <w:sz w:val="18"/>
          <w:szCs w:val="18"/>
        </w:rPr>
        <w:t xml:space="preserve">F13. 2026-03-11 00:22:05 [NETWORK] Outbound TCP to 198.51.100.77:4444 (15820000 bytes) from WKSTN-14</w:t>
      </w:r>
    </w:p>
    <w:p>
      <w:pPr>
        <w:shd w:fill="F2F2F2" w:val="clear"/>
        <w:spacing w:after="200"/>
      </w:pPr>
      <w:r>
        <w:rPr>
          <w:rFonts w:ascii="Courier New" w:cs="Courier New" w:eastAsia="Courier New" w:hAnsi="Courier New"/>
          <w:sz w:val="18"/>
          <w:szCs w:val="18"/>
        </w:rPr>
        <w:t xml:space="preserve">Conclusion: ...consistent with an external compromise... This is an interpretation of the correlated records, not a directly observed fact.</w:t>
      </w:r>
    </w:p>
    <w:p>
      <w:pPr>
        <w:spacing w:after="160"/>
      </w:pPr>
      <w:r>
        <w:rPr>
          <w:sz w:val="22"/>
          <w:szCs w:val="22"/>
        </w:rPr>
        <w:t xml:space="preserve">Full console output for the demo run and for four edge-case tests (duplicate evidence ID, custody entry for an unregistered item, a simulated tampering event caught by integrity verification, and a record with missing mandatory fields correctly flagged in the report) are included as demo_output.txt and edge_case_tests.txt alongside the source code.</w:t>
      </w:r>
    </w:p>
    <w:p>
      <w:pPr>
        <w:pStyle w:val="Heading1"/>
        <w:spacing w:after="150" w:before="300"/>
      </w:pPr>
      <w:r>
        <w:t xml:space="preserve">4. Written Reflection (300-500 words)</w:t>
      </w:r>
    </w:p>
    <w:p>
      <w:pPr>
        <w:spacing w:after="160"/>
      </w:pPr>
      <w:r>
        <w:rPr>
          <w:sz w:val="22"/>
          <w:szCs w:val="22"/>
        </w:rPr>
        <w:t xml:space="preserve">This project's central design decision was to make the report generator read-only against session data rather than a separate write-up. Early drafts (matching how such tools are often built) had a generate_report() function containing typed-out "Findings" text describing the brute-force-then-exfiltration story. That is exactly the failure mode a forensic tool cannot have: if the findings are typed in by the developer rather than produced by the analysis code, there is no way to prove the report reflects what the evidence actually showed. The final version fixes this by having verify_integrity(), validate_baseline_vs_snapshot(), and analyze_incident() each return structured records (not just print them), which generate_report() then reads directly. Section 5 of the report ("Timeline-Derived Findings") is literally the same list analyze_incident() produced, numbered and cited, and Section 6 ("Conclusion") is explicitly labelled as interpretation of those numbered findings rather than a fact in itself. This split between fact and interpretation is what the brief asks for, and building it structurally (rather than just as a heading) was the main technical decision in this iteration.</w:t>
      </w:r>
    </w:p>
    <w:p>
      <w:pPr>
        <w:spacing w:after="160"/>
      </w:pPr>
      <w:r>
        <w:rPr>
          <w:sz w:val="22"/>
          <w:szCs w:val="22"/>
        </w:rPr>
        <w:t xml:space="preserve">A second decision was to treat data integrity as a first-class constraint on the program itself, not just something it measures. register_evidence() refuses a duplicate evidence ID and add_custody_entry() refuses a custody transfer for an item that was never registered, because either of those, left silent, would corrupt the very chain of custody the tool exists to protect.</w:t>
      </w:r>
    </w:p>
    <w:p>
      <w:pPr>
        <w:spacing w:after="160"/>
      </w:pPr>
      <w:r>
        <w:rPr>
          <w:sz w:val="22"/>
          <w:szCs w:val="22"/>
        </w:rPr>
        <w:t xml:space="preserve">The real-world stakes are the ones stated in the brief: evidence handled through ad hoc spreadsheets is difficult to defend in court, because gaps in custody or unverifiable hashes invite a challenge to admissibility. A tool that forces every custody transfer to be logged against a registered item, and that recomputes rather than trusts a hash at every examination, is a small step toward the kind of auditable process real forensic standards (e.g. ISO/IEC 27037) require. It also connects to SDG 16 (Peace, Justice and Strong Institutions) — reliable, tamper-evident evidence handling is infrastructure for institutional accountability, not just a university IT exercise.</w:t>
      </w:r>
    </w:p>
    <w:p>
      <w:pPr>
        <w:spacing w:after="160"/>
      </w:pPr>
      <w:r>
        <w:rPr>
          <w:sz w:val="22"/>
          <w:szCs w:val="22"/>
        </w:rPr>
        <w:t xml:space="preserve">The main implementation challenge was reconciling the supplied data: the evidence register pointed to two log-export files (auth_log_export.csv, network_log_export.csv) that did not exist as separate uploads, only the two binary captures did. Rather than skip those evidence items, sample exports were generated from the corresponding log data so all four registrations, and their SHA-256 intake hashing, run against real files. A second challenge was timestamp normalization: the xlsx sources stored native datetime objects, which needed a single consistent string format before cross-source sorting would work reliably.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2026-09-02T03:34:20.268Z</dcterms:created>
  <dcterms:modified xsi:type="dcterms:W3CDTF">2026-09-02T03:34:20.278Z</dcterms:modified>
</cp:coreProperties>
</file>

<file path=docProps/custom.xml><?xml version="1.0" encoding="utf-8"?>
<Properties xmlns="http://schemas.openxmlformats.org/officeDocument/2006/custom-properties" xmlns:vt="http://schemas.openxmlformats.org/officeDocument/2006/docPropsVTypes"/>
</file>