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563EB"/>
          <w:sz w:val="20"/>
        </w:rPr>
        <w:t>AIONION GROUP • ENTERPRISE AP AUTOMATION</w:t>
      </w:r>
    </w:p>
    <w:p>
      <w:pPr>
        <w:spacing w:before="80" w:after="80"/>
        <w:jc w:val="center"/>
      </w:pPr>
      <w:r>
        <w:rPr>
          <w:rFonts w:ascii="Calibri" w:hAnsi="Calibri"/>
          <w:b/>
          <w:color w:val="1A365D"/>
          <w:sz w:val="36"/>
        </w:rPr>
        <w:t>STANDARD OPERATING PROCEDURE (SOP)</w:t>
        <w:br/>
        <w:t>PETTY CASH MANAGEMENT MODULE</w:t>
      </w:r>
    </w:p>
    <w:p>
      <w:pPr>
        <w:spacing w:before="0" w:after="320"/>
        <w:jc w:val="center"/>
      </w:pPr>
      <w:r>
        <w:rPr>
          <w:rFonts w:ascii="Calibri" w:hAnsi="Calibri"/>
          <w:i/>
          <w:color w:val="64748B"/>
          <w:sz w:val="19"/>
        </w:rPr>
        <w:t>Production Portal: https://aionionone.aioniongroup.com/desk | Module: AP Automation</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80" w:type="dxa"/>
            </w:tcMar>
          </w:tcPr>
          <w:p>
            <w:pPr>
              <w:spacing w:before="0" w:after="80"/>
            </w:pPr>
            <w:r>
              <w:rPr>
                <w:rFonts w:ascii="Calibri" w:hAnsi="Calibri"/>
                <w:b/>
                <w:color w:val="1A365D"/>
                <w:sz w:val="22"/>
              </w:rPr>
              <w:t>📌 DOCUMENT SCOPE &amp; APPLICABILITY</w:t>
              <w:br/>
            </w:r>
            <w:r>
              <w:rPr>
                <w:rFonts w:ascii="Calibri" w:hAnsi="Calibri"/>
                <w:color w:val="1E293B"/>
                <w:sz w:val="20"/>
              </w:rPr>
              <w:t>This Standard Operating Procedure (SOP) governs the digital submission, multi-tier supervisory review, accounting head classification, dispute forking, and director sanctioning of corporate petty cash claims across all business units of Aionion Group. All stakeholders must strictly follow the step-by-step guidelines and statutory policies established in this document.</w:t>
            </w:r>
          </w:p>
        </w:tc>
      </w:tr>
    </w:tbl>
    <w:p>
      <w:pPr>
        <w:spacing w:before="0" w:after="160"/>
      </w:pPr>
    </w:p>
    <w:p>
      <w:pPr>
        <w:keepNext/>
        <w:spacing w:before="280" w:after="120"/>
      </w:pPr>
      <w:r>
        <w:rPr>
          <w:rFonts w:ascii="Calibri" w:hAnsi="Calibri"/>
          <w:b/>
          <w:color w:val="1A365D"/>
          <w:sz w:val="27"/>
        </w:rPr>
        <w:t>1. SYSTEM ACCESS, USER ROLES &amp; APPROVAL MATRIX</w:t>
      </w:r>
    </w:p>
    <w:p>
      <w:pPr>
        <w:spacing w:after="120"/>
      </w:pPr>
      <w:r>
        <w:rPr>
          <w:rFonts w:ascii="Calibri" w:hAnsi="Calibri"/>
          <w:sz w:val="20"/>
        </w:rPr>
        <w:t>The Petty Cash module operates on a strict 4-tier approval sequence following voucher submission:</w:t>
      </w:r>
    </w:p>
    <w:tbl>
      <w:tblPr>
        <w:tblW w:type="auto" w:w="0"/>
        <w:jc w:val="center"/>
        <w:tblLook w:firstColumn="1" w:firstRow="1" w:lastColumn="0" w:lastRow="0" w:noHBand="0" w:noVBand="1" w:val="04A0"/>
      </w:tblPr>
      <w:tblGrid>
        <w:gridCol w:w="2520"/>
        <w:gridCol w:w="2520"/>
        <w:gridCol w:w="2520"/>
        <w:gridCol w:w="2520"/>
      </w:tblGrid>
      <w:tr>
        <w:tc>
          <w:tcPr>
            <w:tcW w:type="dxa" w:w="2592"/>
            <w:shd w:fill="1E3A8A"/>
            <w:tcMar>
              <w:top w:w="140" w:type="dxa"/>
              <w:bottom w:w="140" w:type="dxa"/>
              <w:left w:w="120" w:type="dxa"/>
              <w:right w:w="120" w:type="dxa"/>
            </w:tcMar>
            <w:vAlign w:val="center"/>
          </w:tcPr>
          <w:p>
            <w:pPr>
              <w:spacing w:before="0" w:after="0"/>
              <w:jc w:val="left"/>
            </w:pPr>
            <w:r>
              <w:rPr>
                <w:rFonts w:ascii="Calibri" w:hAnsi="Calibri"/>
                <w:b/>
                <w:color w:val="FFFFFF"/>
                <w:sz w:val="19"/>
              </w:rPr>
              <w:t>Role / Approval Tier</w:t>
            </w:r>
          </w:p>
        </w:tc>
        <w:tc>
          <w:tcPr>
            <w:tcW w:type="dxa" w:w="2592"/>
            <w:shd w:fill="1E3A8A"/>
            <w:tcMar>
              <w:top w:w="140" w:type="dxa"/>
              <w:bottom w:w="140" w:type="dxa"/>
              <w:left w:w="120" w:type="dxa"/>
              <w:right w:w="120" w:type="dxa"/>
            </w:tcMar>
            <w:vAlign w:val="center"/>
          </w:tcPr>
          <w:p>
            <w:pPr>
              <w:spacing w:before="0" w:after="0"/>
              <w:jc w:val="left"/>
            </w:pPr>
            <w:r>
              <w:rPr>
                <w:rFonts w:ascii="Calibri" w:hAnsi="Calibri"/>
                <w:b/>
                <w:color w:val="FFFFFF"/>
                <w:sz w:val="19"/>
              </w:rPr>
              <w:t>Designated User</w:t>
            </w:r>
          </w:p>
        </w:tc>
        <w:tc>
          <w:tcPr>
            <w:tcW w:type="dxa" w:w="1872"/>
            <w:shd w:fill="1E3A8A"/>
            <w:tcMar>
              <w:top w:w="140" w:type="dxa"/>
              <w:bottom w:w="140" w:type="dxa"/>
              <w:left w:w="120" w:type="dxa"/>
              <w:right w:w="120" w:type="dxa"/>
            </w:tcMar>
            <w:vAlign w:val="center"/>
          </w:tcPr>
          <w:p>
            <w:pPr>
              <w:spacing w:before="0" w:after="0"/>
              <w:jc w:val="left"/>
            </w:pPr>
            <w:r>
              <w:rPr>
                <w:rFonts w:ascii="Calibri" w:hAnsi="Calibri"/>
                <w:b/>
                <w:color w:val="FFFFFF"/>
                <w:sz w:val="19"/>
              </w:rPr>
              <w:t>System Role</w:t>
            </w:r>
          </w:p>
        </w:tc>
        <w:tc>
          <w:tcPr>
            <w:tcW w:type="dxa" w:w="3024"/>
            <w:shd w:fill="1E3A8A"/>
            <w:tcMar>
              <w:top w:w="140" w:type="dxa"/>
              <w:bottom w:w="140" w:type="dxa"/>
              <w:left w:w="120" w:type="dxa"/>
              <w:right w:w="120" w:type="dxa"/>
            </w:tcMar>
            <w:vAlign w:val="center"/>
          </w:tcPr>
          <w:p>
            <w:pPr>
              <w:spacing w:before="0" w:after="0"/>
              <w:jc w:val="left"/>
            </w:pPr>
            <w:r>
              <w:rPr>
                <w:rFonts w:ascii="Calibri" w:hAnsi="Calibri"/>
                <w:b/>
                <w:color w:val="FFFFFF"/>
                <w:sz w:val="19"/>
              </w:rPr>
              <w:t>Primary Responsibilities</w:t>
            </w:r>
          </w:p>
        </w:tc>
      </w:tr>
      <w:tr>
        <w:tc>
          <w:tcPr>
            <w:tcW w:type="dxa" w:w="2592"/>
            <w:shd w:fill="FFFFFF"/>
            <w:tcMar>
              <w:top w:w="100" w:type="dxa"/>
              <w:bottom w:w="100" w:type="dxa"/>
              <w:left w:w="120" w:type="dxa"/>
              <w:right w:w="120" w:type="dxa"/>
            </w:tcMar>
            <w:vAlign w:val="center"/>
          </w:tcPr>
          <w:p>
            <w:pPr>
              <w:spacing w:before="0" w:after="0"/>
              <w:jc w:val="left"/>
            </w:pPr>
            <w:r>
              <w:rPr>
                <w:rFonts w:ascii="Calibri" w:hAnsi="Calibri"/>
                <w:color w:val="1E293B"/>
                <w:sz w:val="19"/>
              </w:rPr>
              <w:t>Originator / Receptionist</w:t>
            </w:r>
          </w:p>
        </w:tc>
        <w:tc>
          <w:tcPr>
            <w:tcW w:type="dxa" w:w="2592"/>
            <w:shd w:fill="FFFFFF"/>
            <w:tcMar>
              <w:top w:w="100" w:type="dxa"/>
              <w:bottom w:w="100" w:type="dxa"/>
              <w:left w:w="120" w:type="dxa"/>
              <w:right w:w="120" w:type="dxa"/>
            </w:tcMar>
            <w:vAlign w:val="center"/>
          </w:tcPr>
          <w:p>
            <w:pPr>
              <w:spacing w:before="0" w:after="0"/>
              <w:jc w:val="left"/>
            </w:pPr>
            <w:r>
              <w:rPr>
                <w:rFonts w:ascii="Calibri" w:hAnsi="Calibri"/>
                <w:color w:val="1E293B"/>
                <w:sz w:val="19"/>
              </w:rPr>
              <w:t>divya.d@aionioncapital.com</w:t>
            </w:r>
          </w:p>
        </w:tc>
        <w:tc>
          <w:tcPr>
            <w:tcW w:type="dxa" w:w="1872"/>
            <w:shd w:fill="FFFFFF"/>
            <w:tcMar>
              <w:top w:w="100" w:type="dxa"/>
              <w:bottom w:w="100" w:type="dxa"/>
              <w:left w:w="120" w:type="dxa"/>
              <w:right w:w="120" w:type="dxa"/>
            </w:tcMar>
            <w:vAlign w:val="center"/>
          </w:tcPr>
          <w:p>
            <w:pPr>
              <w:spacing w:before="0" w:after="0"/>
              <w:jc w:val="left"/>
            </w:pPr>
            <w:r>
              <w:rPr>
                <w:rFonts w:ascii="Calibri" w:hAnsi="Calibri"/>
                <w:color w:val="1E293B"/>
                <w:sz w:val="19"/>
              </w:rPr>
              <w:t>Petty Cash User</w:t>
            </w:r>
          </w:p>
        </w:tc>
        <w:tc>
          <w:tcPr>
            <w:tcW w:type="dxa" w:w="3024"/>
            <w:shd w:fill="FFFFFF"/>
            <w:tcMar>
              <w:top w:w="100" w:type="dxa"/>
              <w:bottom w:w="100" w:type="dxa"/>
              <w:left w:w="120" w:type="dxa"/>
              <w:right w:w="120" w:type="dxa"/>
            </w:tcMar>
            <w:vAlign w:val="center"/>
          </w:tcPr>
          <w:p>
            <w:pPr>
              <w:spacing w:before="0" w:after="0"/>
              <w:jc w:val="left"/>
            </w:pPr>
            <w:r>
              <w:rPr>
                <w:rFonts w:ascii="Calibri" w:hAnsi="Calibri"/>
                <w:color w:val="1E293B"/>
                <w:sz w:val="19"/>
              </w:rPr>
              <w:t>Drafts vouchers, logs line items, uploads single bill proofs, and submits envelope for review.</w:t>
            </w:r>
          </w:p>
        </w:tc>
      </w:tr>
      <w:tr>
        <w:tc>
          <w:tcPr>
            <w:tcW w:type="dxa" w:w="2592"/>
            <w:shd w:fill="F8FAFC"/>
            <w:tcMar>
              <w:top w:w="100" w:type="dxa"/>
              <w:bottom w:w="100" w:type="dxa"/>
              <w:left w:w="120" w:type="dxa"/>
              <w:right w:w="120" w:type="dxa"/>
            </w:tcMar>
            <w:vAlign w:val="center"/>
          </w:tcPr>
          <w:p>
            <w:pPr>
              <w:spacing w:before="0" w:after="0"/>
              <w:jc w:val="left"/>
            </w:pPr>
            <w:r>
              <w:rPr>
                <w:rFonts w:ascii="Calibri" w:hAnsi="Calibri"/>
                <w:color w:val="1E293B"/>
                <w:sz w:val="19"/>
              </w:rPr>
              <w:t>Stage 1: Admin L1 Review</w:t>
            </w:r>
          </w:p>
        </w:tc>
        <w:tc>
          <w:tcPr>
            <w:tcW w:type="dxa" w:w="2592"/>
            <w:shd w:fill="F8FAFC"/>
            <w:tcMar>
              <w:top w:w="100" w:type="dxa"/>
              <w:bottom w:w="100" w:type="dxa"/>
              <w:left w:w="120" w:type="dxa"/>
              <w:right w:w="120" w:type="dxa"/>
            </w:tcMar>
            <w:vAlign w:val="center"/>
          </w:tcPr>
          <w:p>
            <w:pPr>
              <w:spacing w:before="0" w:after="0"/>
              <w:jc w:val="left"/>
            </w:pPr>
            <w:r>
              <w:rPr>
                <w:rFonts w:ascii="Calibri" w:hAnsi="Calibri"/>
                <w:color w:val="1E293B"/>
                <w:sz w:val="19"/>
              </w:rPr>
              <w:t>abdul.k@aionioncapital.com</w:t>
            </w:r>
          </w:p>
        </w:tc>
        <w:tc>
          <w:tcPr>
            <w:tcW w:type="dxa" w:w="1872"/>
            <w:shd w:fill="F8FAFC"/>
            <w:tcMar>
              <w:top w:w="100" w:type="dxa"/>
              <w:bottom w:w="100" w:type="dxa"/>
              <w:left w:w="120" w:type="dxa"/>
              <w:right w:w="120" w:type="dxa"/>
            </w:tcMar>
            <w:vAlign w:val="center"/>
          </w:tcPr>
          <w:p>
            <w:pPr>
              <w:spacing w:before="0" w:after="0"/>
              <w:jc w:val="left"/>
            </w:pPr>
            <w:r>
              <w:rPr>
                <w:rFonts w:ascii="Calibri" w:hAnsi="Calibri"/>
                <w:color w:val="1E293B"/>
                <w:sz w:val="19"/>
              </w:rPr>
              <w:t>Admin L1 Approver</w:t>
            </w:r>
          </w:p>
        </w:tc>
        <w:tc>
          <w:tcPr>
            <w:tcW w:type="dxa" w:w="3024"/>
            <w:shd w:fill="F8FAFC"/>
            <w:tcMar>
              <w:top w:w="100" w:type="dxa"/>
              <w:bottom w:w="100" w:type="dxa"/>
              <w:left w:w="120" w:type="dxa"/>
              <w:right w:w="120" w:type="dxa"/>
            </w:tcMar>
            <w:vAlign w:val="center"/>
          </w:tcPr>
          <w:p>
            <w:pPr>
              <w:spacing w:before="0" w:after="0"/>
              <w:jc w:val="left"/>
            </w:pPr>
            <w:r>
              <w:rPr>
                <w:rFonts w:ascii="Calibri" w:hAnsi="Calibri"/>
                <w:color w:val="1E293B"/>
                <w:sz w:val="19"/>
              </w:rPr>
              <w:t>Verifies physical receipts, bills, and expense legitimacy. Can return or approve to Admin L2.</w:t>
            </w:r>
          </w:p>
        </w:tc>
      </w:tr>
      <w:tr>
        <w:tc>
          <w:tcPr>
            <w:tcW w:type="dxa" w:w="2592"/>
            <w:shd w:fill="FFFFFF"/>
            <w:tcMar>
              <w:top w:w="100" w:type="dxa"/>
              <w:bottom w:w="100" w:type="dxa"/>
              <w:left w:w="120" w:type="dxa"/>
              <w:right w:w="120" w:type="dxa"/>
            </w:tcMar>
            <w:vAlign w:val="center"/>
          </w:tcPr>
          <w:p>
            <w:pPr>
              <w:spacing w:before="0" w:after="0"/>
              <w:jc w:val="left"/>
            </w:pPr>
            <w:r>
              <w:rPr>
                <w:rFonts w:ascii="Calibri" w:hAnsi="Calibri"/>
                <w:color w:val="1E293B"/>
                <w:sz w:val="19"/>
              </w:rPr>
              <w:t>Stage 2: Admin L2 Sign-Off</w:t>
            </w:r>
          </w:p>
        </w:tc>
        <w:tc>
          <w:tcPr>
            <w:tcW w:type="dxa" w:w="2592"/>
            <w:shd w:fill="FFFFFF"/>
            <w:tcMar>
              <w:top w:w="100" w:type="dxa"/>
              <w:bottom w:w="100" w:type="dxa"/>
              <w:left w:w="120" w:type="dxa"/>
              <w:right w:w="120" w:type="dxa"/>
            </w:tcMar>
            <w:vAlign w:val="center"/>
          </w:tcPr>
          <w:p>
            <w:pPr>
              <w:spacing w:before="0" w:after="0"/>
              <w:jc w:val="left"/>
            </w:pPr>
            <w:r>
              <w:rPr>
                <w:rFonts w:ascii="Calibri" w:hAnsi="Calibri"/>
                <w:color w:val="1E293B"/>
                <w:sz w:val="19"/>
              </w:rPr>
              <w:t>azarudeen.sr@aionioncapital.com</w:t>
            </w:r>
          </w:p>
        </w:tc>
        <w:tc>
          <w:tcPr>
            <w:tcW w:type="dxa" w:w="1872"/>
            <w:shd w:fill="FFFFFF"/>
            <w:tcMar>
              <w:top w:w="100" w:type="dxa"/>
              <w:bottom w:w="100" w:type="dxa"/>
              <w:left w:w="120" w:type="dxa"/>
              <w:right w:w="120" w:type="dxa"/>
            </w:tcMar>
            <w:vAlign w:val="center"/>
          </w:tcPr>
          <w:p>
            <w:pPr>
              <w:spacing w:before="0" w:after="0"/>
              <w:jc w:val="left"/>
            </w:pPr>
            <w:r>
              <w:rPr>
                <w:rFonts w:ascii="Calibri" w:hAnsi="Calibri"/>
                <w:color w:val="1E293B"/>
                <w:sz w:val="19"/>
              </w:rPr>
              <w:t>Admin L2 Approver</w:t>
            </w:r>
          </w:p>
        </w:tc>
        <w:tc>
          <w:tcPr>
            <w:tcW w:type="dxa" w:w="3024"/>
            <w:shd w:fill="FFFFFF"/>
            <w:tcMar>
              <w:top w:w="100" w:type="dxa"/>
              <w:bottom w:w="100" w:type="dxa"/>
              <w:left w:w="120" w:type="dxa"/>
              <w:right w:w="120" w:type="dxa"/>
            </w:tcMar>
            <w:vAlign w:val="center"/>
          </w:tcPr>
          <w:p>
            <w:pPr>
              <w:spacing w:before="0" w:after="0"/>
              <w:jc w:val="left"/>
            </w:pPr>
            <w:r>
              <w:rPr>
                <w:rFonts w:ascii="Calibri" w:hAnsi="Calibri"/>
                <w:color w:val="1E293B"/>
                <w:sz w:val="19"/>
              </w:rPr>
              <w:t>Conducts departmental sign-off and dispatches validated claims to the Accounts department.</w:t>
            </w:r>
          </w:p>
        </w:tc>
      </w:tr>
      <w:tr>
        <w:tc>
          <w:tcPr>
            <w:tcW w:type="dxa" w:w="2592"/>
            <w:shd w:fill="F8FAFC"/>
            <w:tcMar>
              <w:top w:w="100" w:type="dxa"/>
              <w:bottom w:w="100" w:type="dxa"/>
              <w:left w:w="120" w:type="dxa"/>
              <w:right w:w="120" w:type="dxa"/>
            </w:tcMar>
            <w:vAlign w:val="center"/>
          </w:tcPr>
          <w:p>
            <w:pPr>
              <w:spacing w:before="0" w:after="0"/>
              <w:jc w:val="left"/>
            </w:pPr>
            <w:r>
              <w:rPr>
                <w:rFonts w:ascii="Calibri" w:hAnsi="Calibri"/>
                <w:color w:val="1E293B"/>
                <w:sz w:val="19"/>
              </w:rPr>
              <w:t>Stage 3: Accounts L1 Audit</w:t>
            </w:r>
          </w:p>
        </w:tc>
        <w:tc>
          <w:tcPr>
            <w:tcW w:type="dxa" w:w="2592"/>
            <w:shd w:fill="F8FAFC"/>
            <w:tcMar>
              <w:top w:w="100" w:type="dxa"/>
              <w:bottom w:w="100" w:type="dxa"/>
              <w:left w:w="120" w:type="dxa"/>
              <w:right w:w="120" w:type="dxa"/>
            </w:tcMar>
            <w:vAlign w:val="center"/>
          </w:tcPr>
          <w:p>
            <w:pPr>
              <w:spacing w:before="0" w:after="0"/>
              <w:jc w:val="left"/>
            </w:pPr>
            <w:r>
              <w:rPr>
                <w:rFonts w:ascii="Calibri" w:hAnsi="Calibri"/>
                <w:color w:val="1E293B"/>
                <w:sz w:val="19"/>
              </w:rPr>
              <w:t>gokulnath.s@angassociates.com</w:t>
            </w:r>
          </w:p>
        </w:tc>
        <w:tc>
          <w:tcPr>
            <w:tcW w:type="dxa" w:w="1872"/>
            <w:shd w:fill="F8FAFC"/>
            <w:tcMar>
              <w:top w:w="100" w:type="dxa"/>
              <w:bottom w:w="100" w:type="dxa"/>
              <w:left w:w="120" w:type="dxa"/>
              <w:right w:w="120" w:type="dxa"/>
            </w:tcMar>
            <w:vAlign w:val="center"/>
          </w:tcPr>
          <w:p>
            <w:pPr>
              <w:spacing w:before="0" w:after="0"/>
              <w:jc w:val="left"/>
            </w:pPr>
            <w:r>
              <w:rPr>
                <w:rFonts w:ascii="Calibri" w:hAnsi="Calibri"/>
                <w:color w:val="1E293B"/>
                <w:sz w:val="19"/>
              </w:rPr>
              <w:t>Accounts L1 Auditor</w:t>
            </w:r>
          </w:p>
        </w:tc>
        <w:tc>
          <w:tcPr>
            <w:tcW w:type="dxa" w:w="3024"/>
            <w:shd w:fill="F8FAFC"/>
            <w:tcMar>
              <w:top w:w="100" w:type="dxa"/>
              <w:bottom w:w="100" w:type="dxa"/>
              <w:left w:w="120" w:type="dxa"/>
              <w:right w:w="120" w:type="dxa"/>
            </w:tcMar>
            <w:vAlign w:val="center"/>
          </w:tcPr>
          <w:p>
            <w:pPr>
              <w:spacing w:before="0" w:after="0"/>
              <w:jc w:val="left"/>
            </w:pPr>
            <w:r>
              <w:rPr>
                <w:rFonts w:ascii="Calibri" w:hAnsi="Calibri"/>
                <w:color w:val="1E293B"/>
                <w:sz w:val="19"/>
              </w:rPr>
              <w:t>Audits GST compliance, assigns Expenses of Head, handles line disputes, forwards to Director.</w:t>
            </w:r>
          </w:p>
        </w:tc>
      </w:tr>
      <w:tr>
        <w:tc>
          <w:tcPr>
            <w:tcW w:type="dxa" w:w="2592"/>
            <w:shd w:fill="FFFFFF"/>
            <w:tcMar>
              <w:top w:w="100" w:type="dxa"/>
              <w:bottom w:w="100" w:type="dxa"/>
              <w:left w:w="120" w:type="dxa"/>
              <w:right w:w="120" w:type="dxa"/>
            </w:tcMar>
            <w:vAlign w:val="center"/>
          </w:tcPr>
          <w:p>
            <w:pPr>
              <w:spacing w:before="0" w:after="0"/>
              <w:jc w:val="left"/>
            </w:pPr>
            <w:r>
              <w:rPr>
                <w:rFonts w:ascii="Calibri" w:hAnsi="Calibri"/>
                <w:color w:val="1E293B"/>
                <w:sz w:val="19"/>
              </w:rPr>
              <w:t>Stage 4: Director Sanction</w:t>
            </w:r>
          </w:p>
        </w:tc>
        <w:tc>
          <w:tcPr>
            <w:tcW w:type="dxa" w:w="2592"/>
            <w:shd w:fill="FFFFFF"/>
            <w:tcMar>
              <w:top w:w="100" w:type="dxa"/>
              <w:bottom w:w="100" w:type="dxa"/>
              <w:left w:w="120" w:type="dxa"/>
              <w:right w:w="120" w:type="dxa"/>
            </w:tcMar>
            <w:vAlign w:val="center"/>
          </w:tcPr>
          <w:p>
            <w:pPr>
              <w:spacing w:before="0" w:after="0"/>
              <w:jc w:val="left"/>
            </w:pPr>
            <w:r>
              <w:rPr>
                <w:rFonts w:ascii="Calibri" w:hAnsi="Calibri"/>
                <w:color w:val="1E293B"/>
                <w:sz w:val="19"/>
              </w:rPr>
              <w:t>anshul.gupta@aionioncapital.com</w:t>
            </w:r>
          </w:p>
        </w:tc>
        <w:tc>
          <w:tcPr>
            <w:tcW w:type="dxa" w:w="1872"/>
            <w:shd w:fill="FFFFFF"/>
            <w:tcMar>
              <w:top w:w="100" w:type="dxa"/>
              <w:bottom w:w="100" w:type="dxa"/>
              <w:left w:w="120" w:type="dxa"/>
              <w:right w:w="120" w:type="dxa"/>
            </w:tcMar>
            <w:vAlign w:val="center"/>
          </w:tcPr>
          <w:p>
            <w:pPr>
              <w:spacing w:before="0" w:after="0"/>
              <w:jc w:val="left"/>
            </w:pPr>
            <w:r>
              <w:rPr>
                <w:rFonts w:ascii="Calibri" w:hAnsi="Calibri"/>
                <w:color w:val="1E293B"/>
                <w:sz w:val="19"/>
              </w:rPr>
              <w:t>Accounts Director</w:t>
            </w:r>
          </w:p>
        </w:tc>
        <w:tc>
          <w:tcPr>
            <w:tcW w:type="dxa" w:w="3024"/>
            <w:shd w:fill="FFFFFF"/>
            <w:tcMar>
              <w:top w:w="100" w:type="dxa"/>
              <w:bottom w:w="100" w:type="dxa"/>
              <w:left w:w="120" w:type="dxa"/>
              <w:right w:w="120" w:type="dxa"/>
            </w:tcMar>
            <w:vAlign w:val="center"/>
          </w:tcPr>
          <w:p>
            <w:pPr>
              <w:spacing w:before="0" w:after="0"/>
              <w:jc w:val="left"/>
            </w:pPr>
            <w:r>
              <w:rPr>
                <w:rFonts w:ascii="Calibri" w:hAnsi="Calibri"/>
                <w:color w:val="1E293B"/>
                <w:sz w:val="19"/>
              </w:rPr>
              <w:t>Final executive sanction for payout. Can adjust amounts, dispute lines, or approve for release.</w:t>
            </w:r>
          </w:p>
        </w:tc>
      </w:tr>
    </w:tbl>
    <w:p>
      <w:pPr>
        <w:spacing w:after="160"/>
      </w:pPr>
    </w:p>
    <w:p>
      <w:pPr>
        <w:keepNext/>
        <w:spacing w:before="280" w:after="120"/>
      </w:pPr>
      <w:r>
        <w:rPr>
          <w:rFonts w:ascii="Calibri" w:hAnsi="Calibri"/>
          <w:b/>
          <w:color w:val="1A365D"/>
          <w:sz w:val="27"/>
        </w:rPr>
        <w:t>2. STEP-BY-STEP OPERATIONAL INSTRUCTIONS</w:t>
      </w:r>
    </w:p>
    <w:p>
      <w:pPr>
        <w:keepNext/>
        <w:spacing w:before="200" w:after="80"/>
      </w:pPr>
      <w:r>
        <w:rPr>
          <w:rFonts w:ascii="Calibri" w:hAnsi="Calibri"/>
          <w:b/>
          <w:color w:val="2563EB"/>
          <w:sz w:val="23"/>
        </w:rPr>
        <w:t>Stage 1: Creating &amp; Submitting a Voucher (Receptionist / Petty Cash User)</w:t>
      </w:r>
    </w:p>
    <w:p>
      <w:pPr>
        <w:pStyle w:val="ListBullet"/>
        <w:spacing w:before="40" w:after="60" w:line="276" w:lineRule="auto"/>
      </w:pPr>
      <w:r>
        <w:rPr>
          <w:rFonts w:ascii="Calibri" w:hAnsi="Calibri"/>
          <w:b/>
          <w:color w:val="1E293B"/>
          <w:sz w:val="20"/>
        </w:rPr>
        <w:t xml:space="preserve">Step 1 - Access: </w:t>
      </w:r>
      <w:r>
        <w:rPr>
          <w:rFonts w:ascii="Calibri" w:hAnsi="Calibri"/>
          <w:color w:val="1E293B"/>
          <w:sz w:val="20"/>
        </w:rPr>
        <w:t>Log in at https://aionionone.aioniongroup.com/desk using your official credentials. Navigate to Desk &gt; AP Automation &gt; Petty Cash Entry and click '+ Add Petty Cash Entry'.</w:t>
      </w:r>
    </w:p>
    <w:p>
      <w:pPr>
        <w:pStyle w:val="ListBullet"/>
        <w:spacing w:before="40" w:after="60" w:line="276" w:lineRule="auto"/>
      </w:pPr>
      <w:r>
        <w:rPr>
          <w:rFonts w:ascii="Calibri" w:hAnsi="Calibri"/>
          <w:b/>
          <w:color w:val="1E293B"/>
          <w:sz w:val="20"/>
        </w:rPr>
        <w:t xml:space="preserve">Step 2 - Custodian Details: </w:t>
      </w:r>
      <w:r>
        <w:rPr>
          <w:rFonts w:ascii="Calibri" w:hAnsi="Calibri"/>
          <w:color w:val="1E293B"/>
          <w:sz w:val="20"/>
        </w:rPr>
        <w:t>Select Company (e.g., Aionion Capital Markets) and Custodian. The system automatically fetches your Beneficiary Name, Bank Account Number, and IFSC Code from Employee Master.</w:t>
      </w:r>
    </w:p>
    <w:p>
      <w:pPr>
        <w:pStyle w:val="ListBullet"/>
        <w:spacing w:before="40" w:after="60" w:line="276" w:lineRule="auto"/>
      </w:pPr>
      <w:r>
        <w:rPr>
          <w:rFonts w:ascii="Calibri" w:hAnsi="Calibri"/>
          <w:b/>
          <w:color w:val="1E293B"/>
          <w:sz w:val="20"/>
        </w:rPr>
        <w:t xml:space="preserve">Step 3 - Posting Date &amp; Auto-Title: </w:t>
      </w:r>
      <w:r>
        <w:rPr>
          <w:rFonts w:ascii="Calibri" w:hAnsi="Calibri"/>
          <w:color w:val="1E293B"/>
          <w:sz w:val="20"/>
        </w:rPr>
        <w:t>Select Posting Date. Future dates are blocked. Current month bills are allowed, and previous month bills are allowed up to the 25th of the current month. The system automatically calculates your Claim Title as 'Week {ISO_Week} - {Company Abbr}'.</w:t>
      </w:r>
    </w:p>
    <w:p>
      <w:pPr>
        <w:pStyle w:val="ListBullet"/>
        <w:spacing w:before="40" w:after="60" w:line="276" w:lineRule="auto"/>
      </w:pPr>
      <w:r>
        <w:rPr>
          <w:rFonts w:ascii="Calibri" w:hAnsi="Calibri"/>
          <w:b/>
          <w:color w:val="1E293B"/>
          <w:sz w:val="20"/>
        </w:rPr>
        <w:t xml:space="preserve">Step 4 - Line Items Entry: </w:t>
      </w:r>
      <w:r>
        <w:rPr>
          <w:rFonts w:ascii="Calibri" w:hAnsi="Calibri"/>
          <w:color w:val="1E293B"/>
          <w:sz w:val="20"/>
        </w:rPr>
        <w:t>Click 'Add Row' under Expense Lines table. Each row represents a single spend item:</w:t>
      </w:r>
    </w:p>
    <w:p>
      <w:pPr>
        <w:pStyle w:val="ListBullet"/>
        <w:spacing w:before="40" w:after="60" w:line="276" w:lineRule="auto"/>
      </w:pPr>
      <w:r>
        <w:rPr>
          <w:rFonts w:ascii="Calibri" w:hAnsi="Calibri"/>
          <w:b/>
          <w:color w:val="1E293B"/>
          <w:sz w:val="20"/>
        </w:rPr>
        <w:t xml:space="preserve">   a. Branch (Mandatory): </w:t>
      </w:r>
      <w:r>
        <w:rPr>
          <w:rFonts w:ascii="Calibri" w:hAnsi="Calibri"/>
          <w:color w:val="1E293B"/>
          <w:sz w:val="20"/>
        </w:rPr>
        <w:t>Select the specific office branch/location where the expense was incurred. This is mandatory for every single row.</w:t>
      </w:r>
    </w:p>
    <w:p>
      <w:pPr>
        <w:pStyle w:val="ListBullet"/>
        <w:spacing w:before="40" w:after="60" w:line="276" w:lineRule="auto"/>
      </w:pPr>
      <w:r>
        <w:rPr>
          <w:rFonts w:ascii="Calibri" w:hAnsi="Calibri"/>
          <w:b/>
          <w:color w:val="1E293B"/>
          <w:sz w:val="20"/>
        </w:rPr>
        <w:t xml:space="preserve">   b. Expense Category: </w:t>
      </w:r>
      <w:r>
        <w:rPr>
          <w:rFonts w:ascii="Calibri" w:hAnsi="Calibri"/>
          <w:color w:val="1E293B"/>
          <w:sz w:val="20"/>
        </w:rPr>
        <w:t>Select appropriate category (Food, Office Expenses, Courier, Printing &amp; Stationary, Staff Welfare, etc.). If 'Miscellaneous' is selected, you must describe the spend in Remarks.</w:t>
      </w:r>
    </w:p>
    <w:p>
      <w:pPr>
        <w:pStyle w:val="ListBullet"/>
        <w:spacing w:before="40" w:after="60" w:line="276" w:lineRule="auto"/>
      </w:pPr>
      <w:r>
        <w:rPr>
          <w:rFonts w:ascii="Calibri" w:hAnsi="Calibri"/>
          <w:b/>
          <w:color w:val="1E293B"/>
          <w:sz w:val="20"/>
        </w:rPr>
        <w:t xml:space="preserve">   c. Merchant &amp; Date: </w:t>
      </w:r>
      <w:r>
        <w:rPr>
          <w:rFonts w:ascii="Calibri" w:hAnsi="Calibri"/>
          <w:color w:val="1E293B"/>
          <w:sz w:val="20"/>
        </w:rPr>
        <w:t>Enter exact vendor/shop name and the actual date on which payment was made.</w:t>
      </w:r>
    </w:p>
    <w:p>
      <w:pPr>
        <w:pStyle w:val="ListBullet"/>
        <w:spacing w:before="40" w:after="60" w:line="276" w:lineRule="auto"/>
      </w:pPr>
      <w:r>
        <w:rPr>
          <w:rFonts w:ascii="Calibri" w:hAnsi="Calibri"/>
          <w:b/>
          <w:color w:val="1E293B"/>
          <w:sz w:val="20"/>
        </w:rPr>
        <w:t xml:space="preserve">   d. Amount &amp; Attachment: </w:t>
      </w:r>
      <w:r>
        <w:rPr>
          <w:rFonts w:ascii="Calibri" w:hAnsi="Calibri"/>
          <w:color w:val="1E293B"/>
          <w:sz w:val="20"/>
        </w:rPr>
        <w:t>Enter the exact bill value. For expenses &gt; ₹500.00, attaching a clear photo/PDF receipt is strictly mandatory.</w:t>
      </w:r>
    </w:p>
    <w:p>
      <w:pPr>
        <w:pStyle w:val="ListBullet"/>
        <w:spacing w:before="40" w:after="60" w:line="276" w:lineRule="auto"/>
      </w:pPr>
      <w:r>
        <w:rPr>
          <w:rFonts w:ascii="Calibri" w:hAnsi="Calibri"/>
          <w:b/>
          <w:color w:val="1E293B"/>
          <w:sz w:val="20"/>
        </w:rPr>
        <w:t xml:space="preserve">   e. 1-Bill-1-Line Rule: </w:t>
      </w:r>
      <w:r>
        <w:rPr>
          <w:rFonts w:ascii="Calibri" w:hAnsi="Calibri"/>
          <w:color w:val="1E293B"/>
          <w:sz w:val="20"/>
        </w:rPr>
        <w:t>Exactly ONE single bill/invoice attachment is permitted per row. If you have 3 bills, create 3 separate rows. Do not combine multiple receipts in one row.</w:t>
      </w:r>
    </w:p>
    <w:p>
      <w:pPr>
        <w:pStyle w:val="ListBullet"/>
        <w:spacing w:before="40" w:after="60" w:line="276" w:lineRule="auto"/>
      </w:pPr>
      <w:r>
        <w:rPr>
          <w:rFonts w:ascii="Calibri" w:hAnsi="Calibri"/>
          <w:b/>
          <w:color w:val="1E293B"/>
          <w:sz w:val="20"/>
        </w:rPr>
        <w:t xml:space="preserve">   f. GST Compliance: </w:t>
      </w:r>
      <w:r>
        <w:rPr>
          <w:rFonts w:ascii="Calibri" w:hAnsi="Calibri"/>
          <w:color w:val="1E293B"/>
          <w:sz w:val="20"/>
        </w:rPr>
        <w:t>If the vendor provided a GST tax invoice, check 'Is GST', input statutory 15-character Merchant GSTIN and GST Invoice Number.</w:t>
      </w:r>
    </w:p>
    <w:p>
      <w:pPr>
        <w:pStyle w:val="ListBullet"/>
        <w:spacing w:before="40" w:after="60" w:line="276" w:lineRule="auto"/>
      </w:pPr>
      <w:r>
        <w:rPr>
          <w:rFonts w:ascii="Calibri" w:hAnsi="Calibri"/>
          <w:b/>
          <w:color w:val="1E293B"/>
          <w:sz w:val="20"/>
        </w:rPr>
        <w:t xml:space="preserve">Step 5 - Envelope Submission: </w:t>
      </w:r>
      <w:r>
        <w:rPr>
          <w:rFonts w:ascii="Calibri" w:hAnsi="Calibri"/>
          <w:color w:val="1E293B"/>
          <w:sz w:val="20"/>
        </w:rPr>
        <w:t>Review all rows, ensure totals match physical cash paid, and click '📤 Submit to Admin Lead'. The voucher status transitions to 'Pending Admin L1'.</w:t>
      </w:r>
    </w:p>
    <w:p>
      <w:pPr>
        <w:keepNext/>
        <w:spacing w:before="200" w:after="80"/>
      </w:pPr>
      <w:r>
        <w:rPr>
          <w:rFonts w:ascii="Calibri" w:hAnsi="Calibri"/>
          <w:b/>
          <w:color w:val="2563EB"/>
          <w:sz w:val="23"/>
        </w:rPr>
        <w:t>Stage 2: Admin L1 Review (Abdul K)</w:t>
      </w:r>
    </w:p>
    <w:p>
      <w:pPr>
        <w:pStyle w:val="ListBullet"/>
        <w:spacing w:before="40" w:after="60" w:line="276" w:lineRule="auto"/>
      </w:pPr>
      <w:r>
        <w:rPr>
          <w:rFonts w:ascii="Calibri" w:hAnsi="Calibri"/>
          <w:b/>
          <w:color w:val="1E293B"/>
          <w:sz w:val="20"/>
        </w:rPr>
        <w:t xml:space="preserve">Step 1 - Review Queue: </w:t>
      </w:r>
      <w:r>
        <w:rPr>
          <w:rFonts w:ascii="Calibri" w:hAnsi="Calibri"/>
          <w:color w:val="1E293B"/>
          <w:sz w:val="20"/>
        </w:rPr>
        <w:t>Abdul logs into Frappe Desk &gt; AP Automation &gt; Petty Cash Entry and opens pending vouchers.</w:t>
      </w:r>
    </w:p>
    <w:p>
      <w:pPr>
        <w:pStyle w:val="ListBullet"/>
        <w:spacing w:before="40" w:after="60" w:line="276" w:lineRule="auto"/>
      </w:pPr>
      <w:r>
        <w:rPr>
          <w:rFonts w:ascii="Calibri" w:hAnsi="Calibri"/>
          <w:b/>
          <w:color w:val="1E293B"/>
          <w:sz w:val="20"/>
        </w:rPr>
        <w:t xml:space="preserve">Step 2 - Receipt Inspection: </w:t>
      </w:r>
      <w:r>
        <w:rPr>
          <w:rFonts w:ascii="Calibri" w:hAnsi="Calibri"/>
          <w:color w:val="1E293B"/>
          <w:sz w:val="20"/>
        </w:rPr>
        <w:t>Click '👁️ View Receipts' to open the built-in Receipt Gallery to inspect attached bills, or click '📦 Download ZIP' for all attachments.</w:t>
      </w:r>
    </w:p>
    <w:p>
      <w:pPr>
        <w:pStyle w:val="ListBullet"/>
        <w:spacing w:before="40" w:after="60" w:line="276" w:lineRule="auto"/>
      </w:pPr>
      <w:r>
        <w:rPr>
          <w:rFonts w:ascii="Calibri" w:hAnsi="Calibri"/>
          <w:b/>
          <w:color w:val="1E293B"/>
          <w:sz w:val="20"/>
        </w:rPr>
        <w:t xml:space="preserve">Step 3 - Line Check: </w:t>
      </w:r>
      <w:r>
        <w:rPr>
          <w:rFonts w:ascii="Calibri" w:hAnsi="Calibri"/>
          <w:color w:val="1E293B"/>
          <w:sz w:val="20"/>
        </w:rPr>
        <w:t>Verify merchant name, expense purpose, amount, and branch validity.</w:t>
      </w:r>
    </w:p>
    <w:p>
      <w:pPr>
        <w:pStyle w:val="ListBullet"/>
        <w:spacing w:before="40" w:after="60" w:line="276" w:lineRule="auto"/>
      </w:pPr>
      <w:r>
        <w:rPr>
          <w:rFonts w:ascii="Calibri" w:hAnsi="Calibri"/>
          <w:b/>
          <w:color w:val="1E293B"/>
          <w:sz w:val="20"/>
        </w:rPr>
        <w:t xml:space="preserve">Step 4 - Return / Revision: </w:t>
      </w:r>
      <w:r>
        <w:rPr>
          <w:rFonts w:ascii="Calibri" w:hAnsi="Calibri"/>
          <w:color w:val="1E293B"/>
          <w:sz w:val="20"/>
        </w:rPr>
        <w:t>If any bill is missing, incorrect, or invalid, click '↩️ Return to Reception', choose the reason, enter remarks, and confirm. The voucher returns to Reception for correction.</w:t>
      </w:r>
    </w:p>
    <w:p>
      <w:pPr>
        <w:pStyle w:val="ListBullet"/>
        <w:spacing w:before="40" w:after="60" w:line="276" w:lineRule="auto"/>
      </w:pPr>
      <w:r>
        <w:rPr>
          <w:rFonts w:ascii="Calibri" w:hAnsi="Calibri"/>
          <w:b/>
          <w:color w:val="1E293B"/>
          <w:sz w:val="20"/>
        </w:rPr>
        <w:t xml:space="preserve">Step 5 - Forward to L2: </w:t>
      </w:r>
      <w:r>
        <w:rPr>
          <w:rFonts w:ascii="Calibri" w:hAnsi="Calibri"/>
          <w:color w:val="1E293B"/>
          <w:sz w:val="20"/>
        </w:rPr>
        <w:t>If all lines are verified, click '✅ Approve (Admin L1)'. The voucher transitions to 'Pending Admin L2'.</w:t>
      </w:r>
    </w:p>
    <w:p>
      <w:pPr>
        <w:keepNext/>
        <w:spacing w:before="200" w:after="80"/>
      </w:pPr>
      <w:r>
        <w:rPr>
          <w:rFonts w:ascii="Calibri" w:hAnsi="Calibri"/>
          <w:b/>
          <w:color w:val="2563EB"/>
          <w:sz w:val="23"/>
        </w:rPr>
        <w:t>Stage 3: Admin L2 Department Head Sign-Off (Azarudeen SR)</w:t>
      </w:r>
    </w:p>
    <w:p>
      <w:pPr>
        <w:pStyle w:val="ListBullet"/>
        <w:spacing w:before="40" w:after="60" w:line="276" w:lineRule="auto"/>
      </w:pPr>
      <w:r>
        <w:rPr>
          <w:rFonts w:ascii="Calibri" w:hAnsi="Calibri"/>
          <w:b/>
          <w:color w:val="1E293B"/>
          <w:sz w:val="20"/>
        </w:rPr>
        <w:t xml:space="preserve">Step 1 - Access: </w:t>
      </w:r>
      <w:r>
        <w:rPr>
          <w:rFonts w:ascii="Calibri" w:hAnsi="Calibri"/>
          <w:color w:val="1E293B"/>
          <w:sz w:val="20"/>
        </w:rPr>
        <w:t>Azarudeen reviews the voucher approved by Admin L1.</w:t>
      </w:r>
    </w:p>
    <w:p>
      <w:pPr>
        <w:pStyle w:val="ListBullet"/>
        <w:spacing w:before="40" w:after="60" w:line="276" w:lineRule="auto"/>
      </w:pPr>
      <w:r>
        <w:rPr>
          <w:rFonts w:ascii="Calibri" w:hAnsi="Calibri"/>
          <w:b/>
          <w:color w:val="1E293B"/>
          <w:sz w:val="20"/>
        </w:rPr>
        <w:t xml:space="preserve">Step 2 - Sanity Check: </w:t>
      </w:r>
      <w:r>
        <w:rPr>
          <w:rFonts w:ascii="Calibri" w:hAnsi="Calibri"/>
          <w:color w:val="1E293B"/>
          <w:sz w:val="20"/>
        </w:rPr>
        <w:t>Verify departmental budget and administrative sanity.</w:t>
      </w:r>
    </w:p>
    <w:p>
      <w:pPr>
        <w:pStyle w:val="ListBullet"/>
        <w:spacing w:before="40" w:after="60" w:line="276" w:lineRule="auto"/>
      </w:pPr>
      <w:r>
        <w:rPr>
          <w:rFonts w:ascii="Calibri" w:hAnsi="Calibri"/>
          <w:b/>
          <w:color w:val="1E293B"/>
          <w:sz w:val="20"/>
        </w:rPr>
        <w:t xml:space="preserve">Step 3 - Return: </w:t>
      </w:r>
      <w:r>
        <w:rPr>
          <w:rFonts w:ascii="Calibri" w:hAnsi="Calibri"/>
          <w:color w:val="1E293B"/>
          <w:sz w:val="20"/>
        </w:rPr>
        <w:t>If any item requires clarification, click '↩️ Return Voucher' to send back to Receptionist.</w:t>
      </w:r>
    </w:p>
    <w:p>
      <w:pPr>
        <w:pStyle w:val="ListBullet"/>
        <w:spacing w:before="40" w:after="60" w:line="276" w:lineRule="auto"/>
      </w:pPr>
      <w:r>
        <w:rPr>
          <w:rFonts w:ascii="Calibri" w:hAnsi="Calibri"/>
          <w:b/>
          <w:color w:val="1E293B"/>
          <w:sz w:val="20"/>
        </w:rPr>
        <w:t xml:space="preserve">Step 4 - Sign-Off: </w:t>
      </w:r>
      <w:r>
        <w:rPr>
          <w:rFonts w:ascii="Calibri" w:hAnsi="Calibri"/>
          <w:color w:val="1E293B"/>
          <w:sz w:val="20"/>
        </w:rPr>
        <w:t>Click '✅ Approve &amp; Send to Accounts'. The voucher moves directly to Accounts L1 Audit (Status: 'Submitted').</w:t>
      </w:r>
    </w:p>
    <w:p>
      <w:pPr>
        <w:keepNext/>
        <w:spacing w:before="200" w:after="80"/>
      </w:pPr>
      <w:r>
        <w:rPr>
          <w:rFonts w:ascii="Calibri" w:hAnsi="Calibri"/>
          <w:b/>
          <w:color w:val="2563EB"/>
          <w:sz w:val="23"/>
        </w:rPr>
        <w:t>Stage 4: Accounts L1 Audit &amp; Ledger Classification (Gokulnath S)</w:t>
      </w:r>
    </w:p>
    <w:p>
      <w:pPr>
        <w:pStyle w:val="ListBullet"/>
        <w:spacing w:before="40" w:after="60" w:line="276" w:lineRule="auto"/>
      </w:pPr>
      <w:r>
        <w:rPr>
          <w:rFonts w:ascii="Calibri" w:hAnsi="Calibri"/>
          <w:b/>
          <w:color w:val="1E293B"/>
          <w:sz w:val="20"/>
        </w:rPr>
        <w:t xml:space="preserve">Step 1 - Audit Queue: </w:t>
      </w:r>
      <w:r>
        <w:rPr>
          <w:rFonts w:ascii="Calibri" w:hAnsi="Calibri"/>
          <w:color w:val="1E293B"/>
          <w:sz w:val="20"/>
        </w:rPr>
        <w:t>Accounts L1 opens vouchers in 'Submitted' status.</w:t>
      </w:r>
    </w:p>
    <w:p>
      <w:pPr>
        <w:pStyle w:val="ListBullet"/>
        <w:spacing w:before="40" w:after="60" w:line="276" w:lineRule="auto"/>
      </w:pPr>
      <w:r>
        <w:rPr>
          <w:rFonts w:ascii="Calibri" w:hAnsi="Calibri"/>
          <w:b/>
          <w:color w:val="1E293B"/>
          <w:sz w:val="20"/>
        </w:rPr>
        <w:t xml:space="preserve">Step 2 - Tax Audit: </w:t>
      </w:r>
      <w:r>
        <w:rPr>
          <w:rFonts w:ascii="Calibri" w:hAnsi="Calibri"/>
          <w:color w:val="1E293B"/>
          <w:sz w:val="20"/>
        </w:rPr>
        <w:t>Audit statutory compliance (GST tax invoice validity, GSTIN format, merchant duplicates, tax eligibility).</w:t>
      </w:r>
    </w:p>
    <w:p>
      <w:pPr>
        <w:pStyle w:val="ListBullet"/>
        <w:spacing w:before="40" w:after="60" w:line="276" w:lineRule="auto"/>
      </w:pPr>
      <w:r>
        <w:rPr>
          <w:rFonts w:ascii="Calibri" w:hAnsi="Calibri"/>
          <w:b/>
          <w:color w:val="1E293B"/>
          <w:sz w:val="20"/>
        </w:rPr>
        <w:t xml:space="preserve">Step 3 - Expenses of Head (Mandatory): </w:t>
      </w:r>
      <w:r>
        <w:rPr>
          <w:rFonts w:ascii="Calibri" w:hAnsi="Calibri"/>
          <w:color w:val="1E293B"/>
          <w:sz w:val="20"/>
        </w:rPr>
        <w:t>Assign 'Expenses of Head' to every line item. Reviewers can edit directly in the table or click 'Actions &gt; 📝 Assign Expenses of Head'. Categories include: STAFF WELFARE, FOOD EXPENSES, OFFICE EXPENSES, OFFICE EXPENSES - GROCERY, OFFICE EXPENSES - POOJA, PRINTING &amp; STATIONARY, COURIER CHARGES, POWER &amp; FUEL EXPENSES, etc.</w:t>
      </w:r>
    </w:p>
    <w:p>
      <w:pPr>
        <w:pStyle w:val="ListBullet"/>
        <w:spacing w:before="40" w:after="60" w:line="276" w:lineRule="auto"/>
      </w:pPr>
      <w:r>
        <w:rPr>
          <w:rFonts w:ascii="Calibri" w:hAnsi="Calibri"/>
          <w:b/>
          <w:color w:val="1E293B"/>
          <w:sz w:val="20"/>
        </w:rPr>
        <w:t xml:space="preserve">Step 4 - Forward to Director: </w:t>
      </w:r>
      <w:r>
        <w:rPr>
          <w:rFonts w:ascii="Calibri" w:hAnsi="Calibri"/>
          <w:color w:val="1E293B"/>
          <w:sz w:val="20"/>
        </w:rPr>
        <w:t>Click '✅ Audit &amp; Pass to Director'. If any row is missing Expenses of Head, the system automatically prompts you to select and assign it on the spot before saving. The voucher moves to 'L1 Verified'.</w:t>
      </w:r>
    </w:p>
    <w:p>
      <w:pPr>
        <w:keepNext/>
        <w:spacing w:before="200" w:after="80"/>
      </w:pPr>
      <w:r>
        <w:rPr>
          <w:rFonts w:ascii="Calibri" w:hAnsi="Calibri"/>
          <w:b/>
          <w:color w:val="2563EB"/>
          <w:sz w:val="23"/>
        </w:rPr>
        <w:t>Stage 5: Director Sanction &amp; Disbursement (Anshul Gupta)</w:t>
      </w:r>
    </w:p>
    <w:p>
      <w:pPr>
        <w:pStyle w:val="ListBullet"/>
        <w:spacing w:before="40" w:after="60" w:line="276" w:lineRule="auto"/>
      </w:pPr>
      <w:r>
        <w:rPr>
          <w:rFonts w:ascii="Calibri" w:hAnsi="Calibri"/>
          <w:b/>
          <w:color w:val="1E293B"/>
          <w:sz w:val="20"/>
        </w:rPr>
        <w:t xml:space="preserve">Step 1 - Sanction Queue: </w:t>
      </w:r>
      <w:r>
        <w:rPr>
          <w:rFonts w:ascii="Calibri" w:hAnsi="Calibri"/>
          <w:color w:val="1E293B"/>
          <w:sz w:val="20"/>
        </w:rPr>
        <w:t>Anshul opens vouchers in 'L1 Verified' status.</w:t>
      </w:r>
    </w:p>
    <w:p>
      <w:pPr>
        <w:pStyle w:val="ListBullet"/>
        <w:spacing w:before="40" w:after="60" w:line="276" w:lineRule="auto"/>
      </w:pPr>
      <w:r>
        <w:rPr>
          <w:rFonts w:ascii="Calibri" w:hAnsi="Calibri"/>
          <w:b/>
          <w:color w:val="1E293B"/>
          <w:sz w:val="20"/>
        </w:rPr>
        <w:t xml:space="preserve">Step 2 - Final Review: </w:t>
      </w:r>
      <w:r>
        <w:rPr>
          <w:rFonts w:ascii="Calibri" w:hAnsi="Calibri"/>
          <w:color w:val="1E293B"/>
          <w:sz w:val="20"/>
        </w:rPr>
        <w:t>Review audited total, employee custodian bank details, and ledger classifications.</w:t>
      </w:r>
    </w:p>
    <w:p>
      <w:pPr>
        <w:pStyle w:val="ListBullet"/>
        <w:spacing w:before="40" w:after="60" w:line="276" w:lineRule="auto"/>
      </w:pPr>
      <w:r>
        <w:rPr>
          <w:rFonts w:ascii="Calibri" w:hAnsi="Calibri"/>
          <w:b/>
          <w:color w:val="1E293B"/>
          <w:sz w:val="20"/>
        </w:rPr>
        <w:t xml:space="preserve">Step 3 - Amount Adjustment: </w:t>
      </w:r>
      <w:r>
        <w:rPr>
          <w:rFonts w:ascii="Calibri" w:hAnsi="Calibri"/>
          <w:color w:val="1E293B"/>
          <w:sz w:val="20"/>
        </w:rPr>
        <w:t>If required, Accounts Director is authorized to directly adjust line amounts in the table.</w:t>
      </w:r>
    </w:p>
    <w:p>
      <w:pPr>
        <w:pStyle w:val="ListBullet"/>
        <w:spacing w:before="40" w:after="60" w:line="276" w:lineRule="auto"/>
      </w:pPr>
      <w:r>
        <w:rPr>
          <w:rFonts w:ascii="Calibri" w:hAnsi="Calibri"/>
          <w:b/>
          <w:color w:val="1E293B"/>
          <w:sz w:val="20"/>
        </w:rPr>
        <w:t xml:space="preserve">Step 4 - Sanction: </w:t>
      </w:r>
      <w:r>
        <w:rPr>
          <w:rFonts w:ascii="Calibri" w:hAnsi="Calibri"/>
          <w:color w:val="1E293B"/>
          <w:sz w:val="20"/>
        </w:rPr>
        <w:t>Click '✅ Sanction Payment'. Voucher transitions to 'Approved for Payment' / 'Queued in Batch'.</w:t>
      </w:r>
    </w:p>
    <w:p>
      <w:pPr>
        <w:pStyle w:val="ListBullet"/>
        <w:spacing w:before="40" w:after="60" w:line="276" w:lineRule="auto"/>
      </w:pPr>
      <w:r>
        <w:rPr>
          <w:rFonts w:ascii="Calibri" w:hAnsi="Calibri"/>
          <w:b/>
          <w:color w:val="1E293B"/>
          <w:sz w:val="20"/>
        </w:rPr>
        <w:t xml:space="preserve">Step 5 - Bank &amp; Tally Release: </w:t>
      </w:r>
      <w:r>
        <w:rPr>
          <w:rFonts w:ascii="Calibri" w:hAnsi="Calibri"/>
          <w:color w:val="1E293B"/>
          <w:sz w:val="20"/>
        </w:rPr>
        <w:t>Accounts team can click '🏛️ IDFC Bank Disbursal Excel (.xlsx)' to download the bank batch upload file, or '📑 Tally Journal XML' for automated TallyPrime voucher creation.</w:t>
      </w:r>
    </w:p>
    <w:p>
      <w:pPr>
        <w:keepNext/>
        <w:spacing w:before="280" w:after="120"/>
      </w:pPr>
      <w:r>
        <w:rPr>
          <w:rFonts w:ascii="Calibri" w:hAnsi="Calibri"/>
          <w:b/>
          <w:color w:val="1A365D"/>
          <w:sz w:val="27"/>
        </w:rPr>
        <w:t>3. DISPUTE &amp; FORKING ENGINE (ZERO DELAY PROCESSING)</w:t>
      </w:r>
    </w:p>
    <w:p>
      <w:pPr>
        <w:spacing w:after="80"/>
      </w:pPr>
      <w:r>
        <w:rPr>
          <w:rFonts w:ascii="Calibri" w:hAnsi="Calibri"/>
          <w:sz w:val="20"/>
        </w:rPr>
        <w:t>In traditional systems, 1 questionable bill blocks the entire envelope of 20 bills. Aionion's AP Automation features an intelligent Dispute &amp; Forking Engine:</w:t>
      </w:r>
    </w:p>
    <w:p>
      <w:pPr>
        <w:pStyle w:val="ListBullet"/>
        <w:spacing w:before="40" w:after="60" w:line="276" w:lineRule="auto"/>
      </w:pPr>
      <w:r>
        <w:rPr>
          <w:rFonts w:ascii="Calibri" w:hAnsi="Calibri"/>
          <w:b/>
          <w:color w:val="1E293B"/>
          <w:sz w:val="20"/>
        </w:rPr>
        <w:t xml:space="preserve">How Dispute Forking Works: </w:t>
      </w:r>
      <w:r>
        <w:rPr>
          <w:rFonts w:ascii="Calibri" w:hAnsi="Calibri"/>
          <w:color w:val="1E293B"/>
          <w:sz w:val="20"/>
        </w:rPr>
        <w:t>During review, Accounts L1 or Accounts Director can click '⚠️ Dispute Lines'.</w:t>
      </w:r>
    </w:p>
    <w:p>
      <w:pPr>
        <w:pStyle w:val="ListBullet"/>
        <w:spacing w:before="40" w:after="60" w:line="276" w:lineRule="auto"/>
      </w:pPr>
      <w:r>
        <w:rPr>
          <w:rFonts w:ascii="Calibri" w:hAnsi="Calibri"/>
          <w:b/>
          <w:color w:val="1E293B"/>
          <w:sz w:val="20"/>
        </w:rPr>
        <w:t xml:space="preserve">Line Selection: </w:t>
      </w:r>
      <w:r>
        <w:rPr>
          <w:rFonts w:ascii="Calibri" w:hAnsi="Calibri"/>
          <w:color w:val="1E293B"/>
          <w:sz w:val="20"/>
        </w:rPr>
        <w:t>A dialog opens listing every row. The auditor checks only the disputed rows and enters the exact dispute reason.</w:t>
      </w:r>
    </w:p>
    <w:p>
      <w:pPr>
        <w:pStyle w:val="ListBullet"/>
        <w:spacing w:before="40" w:after="60" w:line="276" w:lineRule="auto"/>
      </w:pPr>
      <w:r>
        <w:rPr>
          <w:rFonts w:ascii="Calibri" w:hAnsi="Calibri"/>
          <w:b/>
          <w:color w:val="1E293B"/>
          <w:sz w:val="20"/>
        </w:rPr>
        <w:t xml:space="preserve">Automatic Split: </w:t>
      </w:r>
      <w:r>
        <w:rPr>
          <w:rFonts w:ascii="Calibri" w:hAnsi="Calibri"/>
          <w:color w:val="1E293B"/>
          <w:sz w:val="20"/>
        </w:rPr>
        <w:t>The system automatically splits the voucher into two: Clean approved lines remain in the original voucher and immediately advance towards Director Sanction. Disputed lines are forked into a separate linked ticket returned to the Receptionist/Custodian.</w:t>
      </w:r>
    </w:p>
    <w:p>
      <w:pPr>
        <w:pStyle w:val="ListBullet"/>
        <w:spacing w:before="40" w:after="60" w:line="276" w:lineRule="auto"/>
      </w:pPr>
      <w:r>
        <w:rPr>
          <w:rFonts w:ascii="Calibri" w:hAnsi="Calibri"/>
          <w:b/>
          <w:color w:val="1E293B"/>
          <w:sz w:val="20"/>
        </w:rPr>
        <w:t xml:space="preserve">Dispute Merge &amp; Recovery: </w:t>
      </w:r>
      <w:r>
        <w:rPr>
          <w:rFonts w:ascii="Calibri" w:hAnsi="Calibri"/>
          <w:color w:val="1E293B"/>
          <w:sz w:val="20"/>
        </w:rPr>
        <w:t>When the Receptionist creates a new voucher in the next cycle, the system automatically detects unresolved disputed bills and presents a 1-click '📥 Merge Disputed Lines into Current Cycle' dialog to absorb them once updated proofs are obtained.</w:t>
      </w:r>
    </w:p>
    <w:p>
      <w:pPr>
        <w:keepNext/>
        <w:spacing w:before="280" w:after="120"/>
      </w:pPr>
      <w:r>
        <w:rPr>
          <w:rFonts w:ascii="Calibri" w:hAnsi="Calibri"/>
          <w:b/>
          <w:color w:val="1A365D"/>
          <w:sz w:val="27"/>
        </w:rPr>
        <w:t>4. COMPLIANCE &amp; VALIDATION RULES SUMMARY</w:t>
      </w:r>
    </w:p>
    <w:tbl>
      <w:tblPr>
        <w:tblW w:type="auto" w:w="0"/>
        <w:jc w:val="center"/>
        <w:tblLook w:firstColumn="1" w:firstRow="1" w:lastColumn="0" w:lastRow="0" w:noHBand="0" w:noVBand="1" w:val="04A0"/>
      </w:tblPr>
      <w:tblGrid>
        <w:gridCol w:w="5040"/>
        <w:gridCol w:w="5040"/>
      </w:tblGrid>
      <w:tr>
        <w:tc>
          <w:tcPr>
            <w:tcW w:type="dxa" w:w="3168"/>
            <w:shd w:fill="1E3A8A"/>
            <w:tcMar>
              <w:top w:w="140" w:type="dxa"/>
              <w:bottom w:w="140" w:type="dxa"/>
              <w:left w:w="120" w:type="dxa"/>
              <w:right w:w="120" w:type="dxa"/>
            </w:tcMar>
            <w:vAlign w:val="center"/>
          </w:tcPr>
          <w:p>
            <w:pPr>
              <w:spacing w:before="0" w:after="0"/>
              <w:jc w:val="left"/>
            </w:pPr>
            <w:r>
              <w:rPr>
                <w:rFonts w:ascii="Calibri" w:hAnsi="Calibri"/>
                <w:b/>
                <w:color w:val="FFFFFF"/>
                <w:sz w:val="19"/>
              </w:rPr>
              <w:t>Policy / Validation Rule</w:t>
            </w:r>
          </w:p>
        </w:tc>
        <w:tc>
          <w:tcPr>
            <w:tcW w:type="dxa" w:w="6912"/>
            <w:shd w:fill="1E3A8A"/>
            <w:tcMar>
              <w:top w:w="140" w:type="dxa"/>
              <w:bottom w:w="140" w:type="dxa"/>
              <w:left w:w="120" w:type="dxa"/>
              <w:right w:w="120" w:type="dxa"/>
            </w:tcMar>
            <w:vAlign w:val="center"/>
          </w:tcPr>
          <w:p>
            <w:pPr>
              <w:spacing w:before="0" w:after="0"/>
              <w:jc w:val="left"/>
            </w:pPr>
            <w:r>
              <w:rPr>
                <w:rFonts w:ascii="Calibri" w:hAnsi="Calibri"/>
                <w:b/>
                <w:color w:val="FFFFFF"/>
                <w:sz w:val="19"/>
              </w:rPr>
              <w:t>Standard Operating Guideline &amp; Enforcement</w:t>
            </w:r>
          </w:p>
        </w:tc>
      </w:tr>
      <w:tr>
        <w:tc>
          <w:tcPr>
            <w:tcW w:type="dxa" w:w="3168"/>
            <w:shd w:fill="FFFFFF"/>
            <w:tcMar>
              <w:top w:w="100" w:type="dxa"/>
              <w:bottom w:w="100" w:type="dxa"/>
              <w:left w:w="120" w:type="dxa"/>
              <w:right w:w="120" w:type="dxa"/>
            </w:tcMar>
            <w:vAlign w:val="center"/>
          </w:tcPr>
          <w:p>
            <w:pPr>
              <w:spacing w:before="0" w:after="0"/>
              <w:jc w:val="left"/>
            </w:pPr>
            <w:r>
              <w:rPr>
                <w:rFonts w:ascii="Calibri" w:hAnsi="Calibri"/>
                <w:color w:val="1E293B"/>
                <w:sz w:val="19"/>
              </w:rPr>
              <w:t>Posting Date Window</w:t>
            </w:r>
          </w:p>
        </w:tc>
        <w:tc>
          <w:tcPr>
            <w:tcW w:type="dxa" w:w="6912"/>
            <w:shd w:fill="FFFFFF"/>
            <w:tcMar>
              <w:top w:w="100" w:type="dxa"/>
              <w:bottom w:w="100" w:type="dxa"/>
              <w:left w:w="120" w:type="dxa"/>
              <w:right w:w="120" w:type="dxa"/>
            </w:tcMar>
            <w:vAlign w:val="center"/>
          </w:tcPr>
          <w:p>
            <w:pPr>
              <w:spacing w:before="0" w:after="0"/>
              <w:jc w:val="left"/>
            </w:pPr>
            <w:r>
              <w:rPr>
                <w:rFonts w:ascii="Calibri" w:hAnsi="Calibri"/>
                <w:color w:val="1E293B"/>
                <w:sz w:val="19"/>
              </w:rPr>
              <w:t>Current calendar month up to today. Prior month accepted up to 25th of current month. Older months strictly rejected.</w:t>
            </w:r>
          </w:p>
        </w:tc>
      </w:tr>
      <w:tr>
        <w:tc>
          <w:tcPr>
            <w:tcW w:type="dxa" w:w="3168"/>
            <w:shd w:fill="F8FAFC"/>
            <w:tcMar>
              <w:top w:w="100" w:type="dxa"/>
              <w:bottom w:w="100" w:type="dxa"/>
              <w:left w:w="120" w:type="dxa"/>
              <w:right w:w="120" w:type="dxa"/>
            </w:tcMar>
            <w:vAlign w:val="center"/>
          </w:tcPr>
          <w:p>
            <w:pPr>
              <w:spacing w:before="0" w:after="0"/>
              <w:jc w:val="left"/>
            </w:pPr>
            <w:r>
              <w:rPr>
                <w:rFonts w:ascii="Calibri" w:hAnsi="Calibri"/>
                <w:color w:val="1E293B"/>
                <w:sz w:val="19"/>
              </w:rPr>
              <w:t>Branch Assignment</w:t>
            </w:r>
          </w:p>
        </w:tc>
        <w:tc>
          <w:tcPr>
            <w:tcW w:type="dxa" w:w="6912"/>
            <w:shd w:fill="F8FAFC"/>
            <w:tcMar>
              <w:top w:w="100" w:type="dxa"/>
              <w:bottom w:w="100" w:type="dxa"/>
              <w:left w:w="120" w:type="dxa"/>
              <w:right w:w="120" w:type="dxa"/>
            </w:tcMar>
            <w:vAlign w:val="center"/>
          </w:tcPr>
          <w:p>
            <w:pPr>
              <w:spacing w:before="0" w:after="0"/>
              <w:jc w:val="left"/>
            </w:pPr>
            <w:r>
              <w:rPr>
                <w:rFonts w:ascii="Calibri" w:hAnsi="Calibri"/>
                <w:color w:val="1E293B"/>
                <w:sz w:val="19"/>
              </w:rPr>
              <w:t>Mandatory on 100% of rows. Every spend must link to a recognized office branch.</w:t>
            </w:r>
          </w:p>
        </w:tc>
      </w:tr>
      <w:tr>
        <w:tc>
          <w:tcPr>
            <w:tcW w:type="dxa" w:w="3168"/>
            <w:shd w:fill="FFFFFF"/>
            <w:tcMar>
              <w:top w:w="100" w:type="dxa"/>
              <w:bottom w:w="100" w:type="dxa"/>
              <w:left w:w="120" w:type="dxa"/>
              <w:right w:w="120" w:type="dxa"/>
            </w:tcMar>
            <w:vAlign w:val="center"/>
          </w:tcPr>
          <w:p>
            <w:pPr>
              <w:spacing w:before="0" w:after="0"/>
              <w:jc w:val="left"/>
            </w:pPr>
            <w:r>
              <w:rPr>
                <w:rFonts w:ascii="Calibri" w:hAnsi="Calibri"/>
                <w:color w:val="1E293B"/>
                <w:sz w:val="19"/>
              </w:rPr>
              <w:t>Receipt Mandatory Threshold</w:t>
            </w:r>
          </w:p>
        </w:tc>
        <w:tc>
          <w:tcPr>
            <w:tcW w:type="dxa" w:w="6912"/>
            <w:shd w:fill="FFFFFF"/>
            <w:tcMar>
              <w:top w:w="100" w:type="dxa"/>
              <w:bottom w:w="100" w:type="dxa"/>
              <w:left w:w="120" w:type="dxa"/>
              <w:right w:w="120" w:type="dxa"/>
            </w:tcMar>
            <w:vAlign w:val="center"/>
          </w:tcPr>
          <w:p>
            <w:pPr>
              <w:spacing w:before="0" w:after="0"/>
              <w:jc w:val="left"/>
            </w:pPr>
            <w:r>
              <w:rPr>
                <w:rFonts w:ascii="Calibri" w:hAnsi="Calibri"/>
                <w:color w:val="1E293B"/>
                <w:sz w:val="19"/>
              </w:rPr>
              <w:t>Mandatory for any spend &gt; ₹500.00 unless explicitly marked with 'no receipt' / 'exempt' in remarks.</w:t>
            </w:r>
          </w:p>
        </w:tc>
      </w:tr>
      <w:tr>
        <w:tc>
          <w:tcPr>
            <w:tcW w:type="dxa" w:w="3168"/>
            <w:shd w:fill="F8FAFC"/>
            <w:tcMar>
              <w:top w:w="100" w:type="dxa"/>
              <w:bottom w:w="100" w:type="dxa"/>
              <w:left w:w="120" w:type="dxa"/>
              <w:right w:w="120" w:type="dxa"/>
            </w:tcMar>
            <w:vAlign w:val="center"/>
          </w:tcPr>
          <w:p>
            <w:pPr>
              <w:spacing w:before="0" w:after="0"/>
              <w:jc w:val="left"/>
            </w:pPr>
            <w:r>
              <w:rPr>
                <w:rFonts w:ascii="Calibri" w:hAnsi="Calibri"/>
                <w:color w:val="1E293B"/>
                <w:sz w:val="19"/>
              </w:rPr>
              <w:t>1-Bill-1-Line Rule</w:t>
            </w:r>
          </w:p>
        </w:tc>
        <w:tc>
          <w:tcPr>
            <w:tcW w:type="dxa" w:w="6912"/>
            <w:shd w:fill="F8FAFC"/>
            <w:tcMar>
              <w:top w:w="100" w:type="dxa"/>
              <w:bottom w:w="100" w:type="dxa"/>
              <w:left w:w="120" w:type="dxa"/>
              <w:right w:w="120" w:type="dxa"/>
            </w:tcMar>
            <w:vAlign w:val="center"/>
          </w:tcPr>
          <w:p>
            <w:pPr>
              <w:spacing w:before="0" w:after="0"/>
              <w:jc w:val="left"/>
            </w:pPr>
            <w:r>
              <w:rPr>
                <w:rFonts w:ascii="Calibri" w:hAnsi="Calibri"/>
                <w:color w:val="1E293B"/>
                <w:sz w:val="19"/>
              </w:rPr>
              <w:t>Strictly one file attachment per line item. Comma-separated or combined multi-bill rows are blocked.</w:t>
            </w:r>
          </w:p>
        </w:tc>
      </w:tr>
      <w:tr>
        <w:tc>
          <w:tcPr>
            <w:tcW w:type="dxa" w:w="3168"/>
            <w:shd w:fill="FFFFFF"/>
            <w:tcMar>
              <w:top w:w="100" w:type="dxa"/>
              <w:bottom w:w="100" w:type="dxa"/>
              <w:left w:w="120" w:type="dxa"/>
              <w:right w:w="120" w:type="dxa"/>
            </w:tcMar>
            <w:vAlign w:val="center"/>
          </w:tcPr>
          <w:p>
            <w:pPr>
              <w:spacing w:before="0" w:after="0"/>
              <w:jc w:val="left"/>
            </w:pPr>
            <w:r>
              <w:rPr>
                <w:rFonts w:ascii="Calibri" w:hAnsi="Calibri"/>
                <w:color w:val="1E293B"/>
                <w:sz w:val="19"/>
              </w:rPr>
              <w:t>GST Statutory Rule</w:t>
            </w:r>
          </w:p>
        </w:tc>
        <w:tc>
          <w:tcPr>
            <w:tcW w:type="dxa" w:w="6912"/>
            <w:shd w:fill="FFFFFF"/>
            <w:tcMar>
              <w:top w:w="100" w:type="dxa"/>
              <w:bottom w:w="100" w:type="dxa"/>
              <w:left w:w="120" w:type="dxa"/>
              <w:right w:w="120" w:type="dxa"/>
            </w:tcMar>
            <w:vAlign w:val="center"/>
          </w:tcPr>
          <w:p>
            <w:pPr>
              <w:spacing w:before="0" w:after="0"/>
              <w:jc w:val="left"/>
            </w:pPr>
            <w:r>
              <w:rPr>
                <w:rFonts w:ascii="Calibri" w:hAnsi="Calibri"/>
                <w:color w:val="1E293B"/>
                <w:sz w:val="19"/>
              </w:rPr>
              <w:t>GST claims require valid 15-character statutory GSTIN (regex verified) and official GST Invoice Number.</w:t>
            </w:r>
          </w:p>
        </w:tc>
      </w:tr>
      <w:tr>
        <w:tc>
          <w:tcPr>
            <w:tcW w:type="dxa" w:w="3168"/>
            <w:shd w:fill="F8FAFC"/>
            <w:tcMar>
              <w:top w:w="100" w:type="dxa"/>
              <w:bottom w:w="100" w:type="dxa"/>
              <w:left w:w="120" w:type="dxa"/>
              <w:right w:w="120" w:type="dxa"/>
            </w:tcMar>
            <w:vAlign w:val="center"/>
          </w:tcPr>
          <w:p>
            <w:pPr>
              <w:spacing w:before="0" w:after="0"/>
              <w:jc w:val="left"/>
            </w:pPr>
            <w:r>
              <w:rPr>
                <w:rFonts w:ascii="Calibri" w:hAnsi="Calibri"/>
                <w:color w:val="1E293B"/>
                <w:sz w:val="19"/>
              </w:rPr>
              <w:t>Duplicate Spend Shield</w:t>
            </w:r>
          </w:p>
        </w:tc>
        <w:tc>
          <w:tcPr>
            <w:tcW w:type="dxa" w:w="6912"/>
            <w:shd w:fill="F8FAFC"/>
            <w:tcMar>
              <w:top w:w="100" w:type="dxa"/>
              <w:bottom w:w="100" w:type="dxa"/>
              <w:left w:w="120" w:type="dxa"/>
              <w:right w:w="120" w:type="dxa"/>
            </w:tcMar>
            <w:vAlign w:val="center"/>
          </w:tcPr>
          <w:p>
            <w:pPr>
              <w:spacing w:before="0" w:after="0"/>
              <w:jc w:val="left"/>
            </w:pPr>
            <w:r>
              <w:rPr>
                <w:rFonts w:ascii="Calibri" w:hAnsi="Calibri"/>
                <w:color w:val="1E293B"/>
                <w:sz w:val="19"/>
              </w:rPr>
              <w:t>Intra-voucher and cross-voucher check blocks duplicate payments for same Merchant + Bill / Txn Number.</w:t>
            </w:r>
          </w:p>
        </w:tc>
      </w:tr>
      <w:tr>
        <w:tc>
          <w:tcPr>
            <w:tcW w:type="dxa" w:w="3168"/>
            <w:shd w:fill="FFFFFF"/>
            <w:tcMar>
              <w:top w:w="100" w:type="dxa"/>
              <w:bottom w:w="100" w:type="dxa"/>
              <w:left w:w="120" w:type="dxa"/>
              <w:right w:w="120" w:type="dxa"/>
            </w:tcMar>
            <w:vAlign w:val="center"/>
          </w:tcPr>
          <w:p>
            <w:pPr>
              <w:spacing w:before="0" w:after="0"/>
              <w:jc w:val="left"/>
            </w:pPr>
            <w:r>
              <w:rPr>
                <w:rFonts w:ascii="Calibri" w:hAnsi="Calibri"/>
                <w:color w:val="1E293B"/>
                <w:sz w:val="19"/>
              </w:rPr>
              <w:t>Expenses of Head</w:t>
            </w:r>
          </w:p>
        </w:tc>
        <w:tc>
          <w:tcPr>
            <w:tcW w:type="dxa" w:w="6912"/>
            <w:shd w:fill="FFFFFF"/>
            <w:tcMar>
              <w:top w:w="100" w:type="dxa"/>
              <w:bottom w:w="100" w:type="dxa"/>
              <w:left w:w="120" w:type="dxa"/>
              <w:right w:w="120" w:type="dxa"/>
            </w:tcMar>
            <w:vAlign w:val="center"/>
          </w:tcPr>
          <w:p>
            <w:pPr>
              <w:spacing w:before="0" w:after="0"/>
              <w:jc w:val="left"/>
            </w:pPr>
            <w:r>
              <w:rPr>
                <w:rFonts w:ascii="Calibri" w:hAnsi="Calibri"/>
                <w:color w:val="1E293B"/>
                <w:sz w:val="19"/>
              </w:rPr>
              <w:t>Mandatory accounting classification prior to passing Accounts L1 audit. Reviewers can edit inline or bulk assign.</w:t>
            </w:r>
          </w:p>
        </w:tc>
      </w:tr>
      <w:tr>
        <w:tc>
          <w:tcPr>
            <w:tcW w:type="dxa" w:w="3168"/>
            <w:shd w:fill="F8FAFC"/>
            <w:tcMar>
              <w:top w:w="100" w:type="dxa"/>
              <w:bottom w:w="100" w:type="dxa"/>
              <w:left w:w="120" w:type="dxa"/>
              <w:right w:w="120" w:type="dxa"/>
            </w:tcMar>
            <w:vAlign w:val="center"/>
          </w:tcPr>
          <w:p>
            <w:pPr>
              <w:spacing w:before="0" w:after="0"/>
              <w:jc w:val="left"/>
            </w:pPr>
            <w:r>
              <w:rPr>
                <w:rFonts w:ascii="Calibri" w:hAnsi="Calibri"/>
                <w:color w:val="1E293B"/>
                <w:sz w:val="19"/>
              </w:rPr>
              <w:t>JV Number Tracking</w:t>
            </w:r>
          </w:p>
        </w:tc>
        <w:tc>
          <w:tcPr>
            <w:tcW w:type="dxa" w:w="6912"/>
            <w:shd w:fill="F8FAFC"/>
            <w:tcMar>
              <w:top w:w="100" w:type="dxa"/>
              <w:bottom w:w="100" w:type="dxa"/>
              <w:left w:w="120" w:type="dxa"/>
              <w:right w:w="120" w:type="dxa"/>
            </w:tcMar>
            <w:vAlign w:val="center"/>
          </w:tcPr>
          <w:p>
            <w:pPr>
              <w:spacing w:before="0" w:after="0"/>
              <w:jc w:val="left"/>
            </w:pPr>
            <w:r>
              <w:rPr>
                <w:rFonts w:ascii="Calibri" w:hAnsi="Calibri"/>
                <w:color w:val="1E293B"/>
                <w:sz w:val="19"/>
              </w:rPr>
              <w:t>JV Number and JV Date can only be assigned by Accounts L1 Auditor, Accounts Director, or System Manager at Accounts stage.</w:t>
            </w:r>
          </w:p>
        </w:tc>
      </w:tr>
    </w:tbl>
    <w:p>
      <w:pPr>
        <w:spacing w:after="200"/>
      </w:pPr>
    </w:p>
    <w:p>
      <w:pPr>
        <w:keepNext/>
        <w:spacing w:before="280" w:after="120"/>
      </w:pPr>
      <w:r>
        <w:rPr>
          <w:rFonts w:ascii="Calibri" w:hAnsi="Calibri"/>
          <w:b/>
          <w:color w:val="1A365D"/>
          <w:sz w:val="27"/>
        </w:rPr>
        <w:t>5. TROUBLESHOOTING &amp; COMMON SCENARIOS</w:t>
      </w:r>
    </w:p>
    <w:p>
      <w:pPr>
        <w:pStyle w:val="ListBullet"/>
        <w:spacing w:before="40" w:after="60" w:line="276" w:lineRule="auto"/>
      </w:pPr>
      <w:r>
        <w:rPr>
          <w:rFonts w:ascii="Calibri" w:hAnsi="Calibri"/>
          <w:b/>
          <w:color w:val="1E293B"/>
          <w:sz w:val="20"/>
        </w:rPr>
        <w:t xml:space="preserve">Issue: AP Automation or Petty Cash Entry icon not visible: </w:t>
      </w:r>
      <w:r>
        <w:rPr>
          <w:rFonts w:ascii="Calibri" w:hAnsi="Calibri"/>
          <w:color w:val="1E293B"/>
          <w:sz w:val="20"/>
        </w:rPr>
        <w:t>Ensure you are logged into https://aionionone.aioniongroup.com/desk. If not visible, contact IT to confirm the 'Petty Cash User' or relevant Approver role is mapped to your user account.</w:t>
      </w:r>
    </w:p>
    <w:p>
      <w:pPr>
        <w:pStyle w:val="ListBullet"/>
        <w:spacing w:before="40" w:after="60" w:line="276" w:lineRule="auto"/>
      </w:pPr>
      <w:r>
        <w:rPr>
          <w:rFonts w:ascii="Calibri" w:hAnsi="Calibri"/>
          <w:b/>
          <w:color w:val="1E293B"/>
          <w:sz w:val="20"/>
        </w:rPr>
        <w:t xml:space="preserve">Issue: 'Branch is required' error on submission: </w:t>
      </w:r>
      <w:r>
        <w:rPr>
          <w:rFonts w:ascii="Calibri" w:hAnsi="Calibri"/>
          <w:color w:val="1E293B"/>
          <w:sz w:val="20"/>
        </w:rPr>
        <w:t>Open each row and verify that 'Branch' dropdown has a value selected. Save and then click Submit.</w:t>
      </w:r>
    </w:p>
    <w:p>
      <w:pPr>
        <w:pStyle w:val="ListBullet"/>
        <w:spacing w:before="40" w:after="60" w:line="276" w:lineRule="auto"/>
      </w:pPr>
      <w:r>
        <w:rPr>
          <w:rFonts w:ascii="Calibri" w:hAnsi="Calibri"/>
          <w:b/>
          <w:color w:val="1E293B"/>
          <w:sz w:val="20"/>
        </w:rPr>
        <w:t xml:space="preserve">Issue: 'Expenses of Head is mandatory' error for Accounts L1: </w:t>
      </w:r>
      <w:r>
        <w:rPr>
          <w:rFonts w:ascii="Calibri" w:hAnsi="Calibri"/>
          <w:color w:val="1E293B"/>
          <w:sz w:val="20"/>
        </w:rPr>
        <w:t>Click 'Actions &gt; 📝 Assign Expenses of Head' or click '✅ Audit &amp; Pass to Director', which prompts you to assign the category in 1 click.</w:t>
      </w:r>
    </w:p>
    <w:p>
      <w:pPr>
        <w:pStyle w:val="ListBullet"/>
        <w:spacing w:before="40" w:after="60" w:line="276" w:lineRule="auto"/>
      </w:pPr>
      <w:r>
        <w:rPr>
          <w:rFonts w:ascii="Calibri" w:hAnsi="Calibri"/>
          <w:b/>
          <w:color w:val="1E293B"/>
          <w:sz w:val="20"/>
        </w:rPr>
        <w:t xml:space="preserve">Issue: 'Duplicate Bill Detected' warning: </w:t>
      </w:r>
      <w:r>
        <w:rPr>
          <w:rFonts w:ascii="Calibri" w:hAnsi="Calibri"/>
          <w:color w:val="1E293B"/>
          <w:sz w:val="20"/>
        </w:rPr>
        <w:t>Check if the same bill number and merchant was already claimed in a previous voucher. Verify original bill or invoice number.</w:t>
      </w: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Pr>
          <w:p>
            <w:pPr>
              <w:spacing w:before="0" w:after="80"/>
            </w:pPr>
            <w:r>
              <w:rPr>
                <w:rFonts w:ascii="Calibri" w:hAnsi="Calibri"/>
                <w:b/>
                <w:color w:val="1A365D"/>
                <w:sz w:val="22"/>
              </w:rPr>
              <w:t>📌 TECHNICAL ASSISTANCE &amp; ESCALATION</w:t>
              <w:br/>
            </w:r>
            <w:r>
              <w:rPr>
                <w:rFonts w:ascii="Calibri" w:hAnsi="Calibri"/>
                <w:color w:val="1E293B"/>
                <w:sz w:val="20"/>
              </w:rPr>
              <w:t>For IT &amp; System Support or Role Configuration:</w:t>
              <w:br/>
              <w:t>Contact: Frappe / ERPNext System Administrator</w:t>
              <w:br/>
              <w:t>Portal: https://aionionone.aioniongroup.com/desk | Workspace: AP Automation</w:t>
            </w:r>
          </w:p>
        </w:tc>
      </w:tr>
    </w:tbl>
    <w:p>
      <w:pPr>
        <w:spacing w:before="0"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