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A4977" w14:textId="77777777" w:rsidR="0073250D" w:rsidRDefault="0073250D" w:rsidP="0073250D">
      <w:pPr>
        <w:spacing w:before="240" w:after="240" w:line="360" w:lineRule="auto"/>
        <w:jc w:val="center"/>
        <w:rPr>
          <w:rFonts w:ascii="Garamond" w:eastAsia="EB Garamond" w:hAnsi="Garamond" w:cs="EB Garamond"/>
          <w:b/>
          <w:bCs/>
          <w:i/>
          <w:iCs/>
          <w:sz w:val="28"/>
          <w:szCs w:val="28"/>
        </w:rPr>
      </w:pPr>
    </w:p>
    <w:p w14:paraId="2ACE9738" w14:textId="48F318A9" w:rsidR="0073250D" w:rsidRPr="0073250D" w:rsidRDefault="0073250D" w:rsidP="0073250D">
      <w:pPr>
        <w:spacing w:before="240" w:after="240" w:line="360" w:lineRule="auto"/>
        <w:jc w:val="center"/>
        <w:rPr>
          <w:rFonts w:ascii="Garamond" w:eastAsia="EB Garamond" w:hAnsi="Garamond" w:cs="EB Garamond"/>
          <w:b/>
          <w:bCs/>
          <w:i/>
          <w:iCs/>
          <w:sz w:val="28"/>
          <w:szCs w:val="28"/>
        </w:rPr>
      </w:pPr>
      <w:r w:rsidRPr="0073250D">
        <w:rPr>
          <w:rFonts w:ascii="Garamond" w:eastAsia="EB Garamond" w:hAnsi="Garamond" w:cs="EB Garamond"/>
          <w:b/>
          <w:bCs/>
          <w:i/>
          <w:iCs/>
          <w:sz w:val="28"/>
          <w:szCs w:val="28"/>
        </w:rPr>
        <w:t>E-MUSEUM PROJECT ON LANDMARK CONSTITUTIONAL CASES OF THE SUPREME COURT OF INDIA</w:t>
      </w:r>
    </w:p>
    <w:p w14:paraId="601FBABE" w14:textId="77777777" w:rsidR="0073250D" w:rsidRDefault="0073250D" w:rsidP="0073250D">
      <w:pPr>
        <w:spacing w:before="240" w:after="240" w:line="360" w:lineRule="auto"/>
        <w:jc w:val="both"/>
        <w:rPr>
          <w:rFonts w:ascii="Garamond" w:eastAsia="EB Garamond" w:hAnsi="Garamond" w:cs="EB Garamond"/>
          <w:i/>
          <w:iCs/>
          <w:sz w:val="24"/>
          <w:szCs w:val="24"/>
        </w:rPr>
      </w:pPr>
    </w:p>
    <w:p w14:paraId="73D23587" w14:textId="77777777" w:rsidR="0073250D" w:rsidRDefault="0073250D" w:rsidP="0073250D">
      <w:pPr>
        <w:spacing w:before="240" w:after="240" w:line="360" w:lineRule="auto"/>
        <w:jc w:val="both"/>
        <w:rPr>
          <w:rFonts w:ascii="Garamond" w:eastAsia="EB Garamond" w:hAnsi="Garamond" w:cs="EB Garamond"/>
          <w:i/>
          <w:iCs/>
          <w:sz w:val="24"/>
          <w:szCs w:val="24"/>
        </w:rPr>
      </w:pPr>
    </w:p>
    <w:p w14:paraId="00000003" w14:textId="013108D7" w:rsidR="00487EAB" w:rsidRPr="0073250D" w:rsidRDefault="00000000" w:rsidP="0073250D">
      <w:pPr>
        <w:spacing w:before="240" w:after="240" w:line="360" w:lineRule="auto"/>
        <w:jc w:val="both"/>
        <w:rPr>
          <w:rFonts w:ascii="Garamond" w:eastAsia="EB Garamond" w:hAnsi="Garamond" w:cs="EB Garamond"/>
          <w:sz w:val="24"/>
          <w:szCs w:val="24"/>
          <w:u w:val="single"/>
        </w:rPr>
      </w:pPr>
      <w:r w:rsidRPr="0073250D">
        <w:rPr>
          <w:rFonts w:ascii="Garamond" w:eastAsia="EB Garamond" w:hAnsi="Garamond" w:cs="EB Garamond"/>
          <w:i/>
          <w:iCs/>
          <w:sz w:val="24"/>
          <w:szCs w:val="24"/>
        </w:rPr>
        <w:t xml:space="preserve">“The foremost task of the Supreme Court is to interpret the Constitution which is but a means of ordering the life of a progressive people.” </w:t>
      </w:r>
      <w:r w:rsidRPr="0073250D">
        <w:rPr>
          <w:rFonts w:ascii="Garamond" w:eastAsia="EB Garamond" w:hAnsi="Garamond" w:cs="EB Garamond"/>
          <w:sz w:val="24"/>
          <w:szCs w:val="24"/>
        </w:rPr>
        <w:t xml:space="preserve">- The First Attorney General of India, M.C Setalvad. </w:t>
      </w:r>
    </w:p>
    <w:p w14:paraId="00000005" w14:textId="589178E9" w:rsidR="00487EAB" w:rsidRPr="0073250D" w:rsidRDefault="00000000" w:rsidP="00F86D33">
      <w:pPr>
        <w:spacing w:before="240" w:after="240" w:line="360" w:lineRule="auto"/>
        <w:jc w:val="both"/>
        <w:rPr>
          <w:rFonts w:ascii="Garamond" w:eastAsia="EB Garamond" w:hAnsi="Garamond" w:cs="EB Garamond"/>
          <w:b/>
          <w:bCs/>
          <w:sz w:val="24"/>
          <w:szCs w:val="24"/>
        </w:rPr>
      </w:pPr>
      <w:r w:rsidRPr="0073250D">
        <w:rPr>
          <w:rFonts w:ascii="Garamond" w:eastAsia="EB Garamond" w:hAnsi="Garamond" w:cs="EB Garamond"/>
          <w:b/>
          <w:bCs/>
          <w:sz w:val="24"/>
          <w:szCs w:val="24"/>
        </w:rPr>
        <w:t>Upholding the sanctity of the Constitution: Basic Structure Doctrine</w:t>
      </w:r>
    </w:p>
    <w:p w14:paraId="00000006" w14:textId="6B951599"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Shankari Prasad Singh Deo v. Union of India (1951)</w:t>
      </w:r>
    </w:p>
    <w:p w14:paraId="00000007" w14:textId="77777777"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Shankari Prasad, a West Bengal zamindar, challenged the First Amendment Act, 1951, which curtailed the right to property to facilitate the abolition of zamindari and land redistribution. The Supreme Court held that constitutional amendments are not "laws" under Article 13(2), meaning amendments fall outside the restriction on laws protecting fundamental rights. This gave Parliament unlimited power to amend any provision, including fundamental rights. This case removed legal barriers to agrarian reforms and set the precedent for absolute parliamentary amendment power.</w:t>
      </w:r>
      <w:r w:rsidRPr="0073250D">
        <w:rPr>
          <w:rFonts w:ascii="Times New Roman" w:eastAsia="EB Garamond" w:hAnsi="Times New Roman" w:cs="Times New Roman"/>
          <w:sz w:val="24"/>
          <w:szCs w:val="24"/>
        </w:rPr>
        <w:t>​</w:t>
      </w:r>
    </w:p>
    <w:p w14:paraId="00000008" w14:textId="24FDB1D4"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Sajjan Singh v. State of Rajasthan (1965)</w:t>
      </w:r>
    </w:p>
    <w:p w14:paraId="00000009" w14:textId="77777777"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Sajjan Singh challenged the 17th Constitutional Amendment, which safeguarded certain land reform laws. While the majority of the court upheld the amendment and affirmed Parliament's authority to amend fundamental rights, dissenting judges expressed significant concerns. They highlighted the importance of fundamental rights and proposed a structuralist approach, suggesting that not all provisions could be amended arbitrarily. These dissenting opinions set the stage for future limitations on Parliament's amendment power.</w:t>
      </w:r>
    </w:p>
    <w:p w14:paraId="0000000A" w14:textId="3BC19EAD"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I.C. Golaknath v. State of Punjab (1967)</w:t>
      </w:r>
    </w:p>
    <w:p w14:paraId="0000000B" w14:textId="77777777"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lastRenderedPageBreak/>
        <w:t>The Golaknath family owned over 500 acres of land in Punjab and challenged the Punjab Security and Land Tenures Act. In a narrowly divided judgment, the Court reversed its previous position, stating that Parliament cannot amend fundamental rights because these rights are "transcendental" and essential to democracy. The Court determined that constitutional amendments are considered "laws" and are therefore subject to Article 13(2). This ruling was applied prospectively, meaning that prior amendments would remain valid, but future amendments would be prohibited from limiting fundamental rights.</w:t>
      </w:r>
    </w:p>
    <w:p w14:paraId="0000000C" w14:textId="39932DA4"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Kesavananda Bharati v. State of Kerala (1973)</w:t>
      </w:r>
    </w:p>
    <w:p w14:paraId="0000000D" w14:textId="77777777"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Kesavananda Bharati, the chief of the Edneer Mutt in Kerala, challenged the Kerala Land Reforms Acts of 1963, 1969, and 1971, which progressively limited the landholdings of religious institutions. The case raised questions about the constitutionality of the 24th, 25th, and 29th Constitutional Amendments. These amendments were enacted by Parliament to restore governmental power after the Golaknath case in 1967, which had restricted the power to amend the Constitution. The 24th Amendment specifically reversed the Golaknath decision by declaring that constitutional amendments are not "laws" under Article 13(2), thus restoring Parliament's unrestricted authority to amend the Constitution. </w:t>
      </w:r>
    </w:p>
    <w:p w14:paraId="0000000E" w14:textId="77777777"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In response to this challenge, the Supreme Court constituted a 13-judge bench. In a narrow 7:6 majority decision, the Court delivered a landmark judgment in Indian constitutional history known as the Basic Structure Doctrine. The Court concluded that, firstly, Parliament can amend any provision of the Constitution, effectively overruling the Golaknath decision and affirming the validity of the 24th Amendment. Secondly, however, Parliament cannot alter or destroy the "basic structure" of the Constitution. This establishes that while Parliament retains plenary amendment authority, it operates within certain implicit constitutional limits. Amendments that would undermine essential constitutional features are subject to judicial review and may be invalidated. The brilliance of the Basic Structure Doctrine lies in its deliberate decision to leave the term "basic structure" undefined and open to evolution, rather than attempting to create a rigid list of immutable features.</w:t>
      </w:r>
    </w:p>
    <w:p w14:paraId="0000000F" w14:textId="4C178684"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Indira Nehru Gandhi v. Raj Narain (1975)</w:t>
      </w:r>
    </w:p>
    <w:p w14:paraId="00000010" w14:textId="77777777"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Indira Gandhi's election was challenged in the Allahabad High Court due to allegations of electoral malpractice. While the case was still pending, she declared a national emergency and enacted the 39th </w:t>
      </w:r>
      <w:r w:rsidRPr="0073250D">
        <w:rPr>
          <w:rFonts w:ascii="Garamond" w:eastAsia="EB Garamond" w:hAnsi="Garamond" w:cs="EB Garamond"/>
          <w:sz w:val="24"/>
          <w:szCs w:val="24"/>
        </w:rPr>
        <w:lastRenderedPageBreak/>
        <w:t>Amendment, which introduced Article 329A. This amendment aimed to place the elections of the President, Vice President, Prime Minister, and Speaker beyond the reach of judicial review. Raj Narain contested the validity of this amendment. In a landmark decision, the Supreme Court, by a 4:1 majority, struck down Clause 4 of Article 329A because it violated the basic structure of the Constitution. The Court asserted that free and fair elections, judicial review, and the separation of powers are essential features that cannot be overridden, even by a constitutional amendment</w:t>
      </w:r>
    </w:p>
    <w:p w14:paraId="00000011" w14:textId="00CCB520"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Waman Rao v. Union of India (1981)</w:t>
      </w:r>
    </w:p>
    <w:p w14:paraId="00000012" w14:textId="77777777"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Several amendments to the Constitution made before the Kesavananda Bharati judgment (April 24, 1973), were challenged because they violated the basic structure doctrine, even though this doctrine had not yet been established. The Supreme Court introduced the "doctrine of prospective overruling," stating that the basic structure doctrine would only apply to amendments made after April 24, 1973. Amendments made before this date could not be reopened or challenged, which provided legal certainty and stability to the constitutional order. However, any future amendments aimed at altering the Ninth Schedule would be subject to basic structure scrutiny. This judgment struck a balance between the need for judicial protection of constitutional values and the principle of legal certainty, allowing past laws to remain in effect while ensuring that future amendments adhere to constitutional safeguards. </w:t>
      </w:r>
    </w:p>
    <w:p w14:paraId="00000013" w14:textId="77777777" w:rsidR="00487EAB" w:rsidRPr="0073250D" w:rsidRDefault="00000000" w:rsidP="00F86D33">
      <w:pPr>
        <w:spacing w:before="240" w:after="240" w:line="360" w:lineRule="auto"/>
        <w:jc w:val="both"/>
        <w:rPr>
          <w:rFonts w:ascii="Garamond" w:eastAsia="EB Garamond" w:hAnsi="Garamond" w:cs="EB Garamond"/>
          <w:b/>
          <w:bCs/>
          <w:sz w:val="24"/>
          <w:szCs w:val="24"/>
        </w:rPr>
      </w:pPr>
      <w:r w:rsidRPr="0073250D">
        <w:rPr>
          <w:rFonts w:ascii="Garamond" w:eastAsia="EB Garamond" w:hAnsi="Garamond" w:cs="EB Garamond"/>
          <w:b/>
          <w:bCs/>
          <w:sz w:val="24"/>
          <w:szCs w:val="24"/>
        </w:rPr>
        <w:t>The brutal reality in India and the strive to end Custodial Death</w:t>
      </w:r>
    </w:p>
    <w:p w14:paraId="00000014" w14:textId="5A1A6CF5"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D.</w:t>
      </w:r>
      <w:r w:rsidR="004B2D32" w:rsidRPr="00E92C1D">
        <w:rPr>
          <w:rFonts w:ascii="Garamond" w:eastAsia="EB Garamond" w:hAnsi="Garamond" w:cs="EB Garamond"/>
          <w:sz w:val="24"/>
          <w:szCs w:val="24"/>
        </w:rPr>
        <w:t xml:space="preserve"> </w:t>
      </w:r>
      <w:r w:rsidRPr="00E92C1D">
        <w:rPr>
          <w:rFonts w:ascii="Garamond" w:eastAsia="EB Garamond" w:hAnsi="Garamond" w:cs="EB Garamond"/>
          <w:sz w:val="24"/>
          <w:szCs w:val="24"/>
        </w:rPr>
        <w:t>K.</w:t>
      </w:r>
      <w:r w:rsidR="004B2D32" w:rsidRPr="00E92C1D">
        <w:rPr>
          <w:rFonts w:ascii="Garamond" w:eastAsia="EB Garamond" w:hAnsi="Garamond" w:cs="EB Garamond"/>
          <w:sz w:val="24"/>
          <w:szCs w:val="24"/>
        </w:rPr>
        <w:t xml:space="preserve"> </w:t>
      </w:r>
      <w:r w:rsidRPr="00E92C1D">
        <w:rPr>
          <w:rFonts w:ascii="Garamond" w:eastAsia="EB Garamond" w:hAnsi="Garamond" w:cs="EB Garamond"/>
          <w:sz w:val="24"/>
          <w:szCs w:val="24"/>
        </w:rPr>
        <w:t xml:space="preserve">Basu </w:t>
      </w:r>
      <w:r w:rsidR="0073250D" w:rsidRPr="00E92C1D">
        <w:rPr>
          <w:rFonts w:ascii="Garamond" w:eastAsia="EB Garamond" w:hAnsi="Garamond" w:cs="EB Garamond"/>
          <w:sz w:val="24"/>
          <w:szCs w:val="24"/>
        </w:rPr>
        <w:t>v</w:t>
      </w:r>
      <w:r w:rsidRPr="00E92C1D">
        <w:rPr>
          <w:rFonts w:ascii="Garamond" w:eastAsia="EB Garamond" w:hAnsi="Garamond" w:cs="EB Garamond"/>
          <w:sz w:val="24"/>
          <w:szCs w:val="24"/>
        </w:rPr>
        <w:t xml:space="preserve">. </w:t>
      </w:r>
      <w:r w:rsidR="0073250D" w:rsidRPr="00E92C1D">
        <w:rPr>
          <w:rFonts w:ascii="Garamond" w:eastAsia="EB Garamond" w:hAnsi="Garamond" w:cs="EB Garamond"/>
          <w:sz w:val="24"/>
          <w:szCs w:val="24"/>
        </w:rPr>
        <w:t>S</w:t>
      </w:r>
      <w:r w:rsidRPr="00E92C1D">
        <w:rPr>
          <w:rFonts w:ascii="Garamond" w:eastAsia="EB Garamond" w:hAnsi="Garamond" w:cs="EB Garamond"/>
          <w:sz w:val="24"/>
          <w:szCs w:val="24"/>
        </w:rPr>
        <w:t>tate of West Bengal (1997)</w:t>
      </w:r>
    </w:p>
    <w:p w14:paraId="00000015" w14:textId="5FD59404"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The letter by DK Basu the </w:t>
      </w:r>
      <w:r w:rsidRPr="0073250D">
        <w:rPr>
          <w:rFonts w:ascii="Garamond" w:eastAsia="EB Garamond" w:hAnsi="Garamond" w:cs="EB Garamond"/>
          <w:sz w:val="24"/>
          <w:szCs w:val="24"/>
          <w:highlight w:val="white"/>
        </w:rPr>
        <w:t xml:space="preserve">Executive Chairman of Legal Aid Services on the crimes of custodial death in the country to the Supreme Court of India was considered as a writ petition. The Court considered important issues on the increase of custodial death, the liability of police officers, the requirement of guidelines for arrest and custody for detainees and the violation of Art. 21 of the Indian Constitution. The court observed that prisoners and detainees should not be deprived of their fundamental right under Art. 21. It further provided guidelines on arrest </w:t>
      </w:r>
      <w:r w:rsidR="0073250D" w:rsidRPr="0073250D">
        <w:rPr>
          <w:rFonts w:ascii="Garamond" w:eastAsia="EB Garamond" w:hAnsi="Garamond" w:cs="EB Garamond"/>
          <w:sz w:val="24"/>
          <w:szCs w:val="24"/>
          <w:highlight w:val="white"/>
        </w:rPr>
        <w:t>and detention</w:t>
      </w:r>
      <w:r w:rsidRPr="0073250D">
        <w:rPr>
          <w:rFonts w:ascii="Garamond" w:eastAsia="EB Garamond" w:hAnsi="Garamond" w:cs="EB Garamond"/>
          <w:sz w:val="24"/>
          <w:szCs w:val="24"/>
          <w:highlight w:val="white"/>
        </w:rPr>
        <w:t xml:space="preserve"> including duties of police making arrest and handling interrogation, arrest and inspection memo, medical examination, maintenance of daily diary and on the right to information of the arrest or detention. These guidelines were later accommodated in the Civil Code Procedure through Code of Criminal Procedure (Amendment) Act, 2008. </w:t>
      </w:r>
    </w:p>
    <w:p w14:paraId="00000016" w14:textId="0B41326A"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lastRenderedPageBreak/>
        <w:t>Nilabati Behera v</w:t>
      </w:r>
      <w:r w:rsidR="0073250D" w:rsidRPr="00E92C1D">
        <w:rPr>
          <w:rFonts w:ascii="Garamond" w:eastAsia="EB Garamond" w:hAnsi="Garamond" w:cs="EB Garamond"/>
          <w:sz w:val="24"/>
          <w:szCs w:val="24"/>
        </w:rPr>
        <w:t xml:space="preserve">. </w:t>
      </w:r>
      <w:r w:rsidRPr="00E92C1D">
        <w:rPr>
          <w:rFonts w:ascii="Garamond" w:eastAsia="EB Garamond" w:hAnsi="Garamond" w:cs="EB Garamond"/>
          <w:sz w:val="24"/>
          <w:szCs w:val="24"/>
        </w:rPr>
        <w:t>State of Orissa (1993)</w:t>
      </w:r>
    </w:p>
    <w:p w14:paraId="00000017" w14:textId="77777777"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It is a landmark Supreme Court case addressing custodial deaths. The case arose from Smt. Nilabati Behera’s letter claiming her son, Suman Behera, died due to police brutality. The court treated it as a writ petition under Article 32. It was determined that Suman’s injuries were not consistent with a train accident but were inflicted in police custody. The Court also granted compensation to her for the custodial death of her son. </w:t>
      </w:r>
    </w:p>
    <w:p w14:paraId="00000018" w14:textId="390E02B0"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 xml:space="preserve">Joginder Kumar </w:t>
      </w:r>
      <w:r w:rsidR="0073250D" w:rsidRPr="00E92C1D">
        <w:rPr>
          <w:rFonts w:ascii="Garamond" w:eastAsia="EB Garamond" w:hAnsi="Garamond" w:cs="EB Garamond"/>
          <w:sz w:val="24"/>
          <w:szCs w:val="24"/>
        </w:rPr>
        <w:t xml:space="preserve">v. </w:t>
      </w:r>
      <w:r w:rsidRPr="00E92C1D">
        <w:rPr>
          <w:rFonts w:ascii="Garamond" w:eastAsia="EB Garamond" w:hAnsi="Garamond" w:cs="EB Garamond"/>
          <w:sz w:val="24"/>
          <w:szCs w:val="24"/>
        </w:rPr>
        <w:t>State of U.P &amp; Others (1994)</w:t>
      </w:r>
    </w:p>
    <w:p w14:paraId="00000019" w14:textId="1044873F"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highlight w:val="white"/>
        </w:rPr>
        <w:t xml:space="preserve">Mr. Joginder Kumar was illegally detained without any reasonable </w:t>
      </w:r>
      <w:r w:rsidR="0073250D" w:rsidRPr="0073250D">
        <w:rPr>
          <w:rFonts w:ascii="Garamond" w:eastAsia="EB Garamond" w:hAnsi="Garamond" w:cs="EB Garamond"/>
          <w:sz w:val="24"/>
          <w:szCs w:val="24"/>
          <w:highlight w:val="white"/>
        </w:rPr>
        <w:t>justifications;</w:t>
      </w:r>
      <w:r w:rsidRPr="0073250D">
        <w:rPr>
          <w:rFonts w:ascii="Garamond" w:eastAsia="EB Garamond" w:hAnsi="Garamond" w:cs="EB Garamond"/>
          <w:sz w:val="24"/>
          <w:szCs w:val="24"/>
          <w:highlight w:val="white"/>
        </w:rPr>
        <w:t xml:space="preserve"> a petition was filed under Art. 32 before the Supreme Court for the immediate release of Joginder. The </w:t>
      </w:r>
      <w:r w:rsidR="0073250D" w:rsidRPr="0073250D">
        <w:rPr>
          <w:rFonts w:ascii="Garamond" w:eastAsia="EB Garamond" w:hAnsi="Garamond" w:cs="EB Garamond"/>
          <w:sz w:val="24"/>
          <w:szCs w:val="24"/>
          <w:highlight w:val="white"/>
        </w:rPr>
        <w:t>Court ruled</w:t>
      </w:r>
      <w:r w:rsidRPr="0073250D">
        <w:rPr>
          <w:rFonts w:ascii="Garamond" w:eastAsia="EB Garamond" w:hAnsi="Garamond" w:cs="EB Garamond"/>
          <w:sz w:val="24"/>
          <w:szCs w:val="24"/>
          <w:highlight w:val="white"/>
        </w:rPr>
        <w:t xml:space="preserve"> that arrests should be based on reasonable belief and evidence, not routinely or arbitrarily. Guidelines were issued mandating that detained individuals be informed of their rights, have a friend or relative notified and be presented before a magistrate within 24 hours. The judgement reinforced constitutional protections under Articles 21 and 22, ensuring police accountability and judicial oversight to prevent unlawful detention.</w:t>
      </w:r>
    </w:p>
    <w:p w14:paraId="42E906A3" w14:textId="77777777" w:rsidR="00E92C1D" w:rsidRDefault="00000000" w:rsidP="00F86D33">
      <w:pPr>
        <w:spacing w:before="240" w:after="240" w:line="360" w:lineRule="auto"/>
        <w:jc w:val="both"/>
        <w:rPr>
          <w:rFonts w:ascii="Garamond" w:eastAsia="EB Garamond" w:hAnsi="Garamond" w:cs="EB Garamond"/>
          <w:b/>
          <w:bCs/>
          <w:sz w:val="24"/>
          <w:szCs w:val="24"/>
        </w:rPr>
      </w:pPr>
      <w:r w:rsidRPr="0073250D">
        <w:rPr>
          <w:rFonts w:ascii="Garamond" w:eastAsia="EB Garamond" w:hAnsi="Garamond" w:cs="EB Garamond"/>
          <w:b/>
          <w:bCs/>
          <w:sz w:val="24"/>
          <w:szCs w:val="24"/>
        </w:rPr>
        <w:t>Independence of Judiciary in the process of Appointment of Judges</w:t>
      </w:r>
    </w:p>
    <w:p w14:paraId="0000001B" w14:textId="747E36E2"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 xml:space="preserve">S.P. Gupta </w:t>
      </w:r>
      <w:r w:rsidR="0073250D" w:rsidRPr="00E92C1D">
        <w:rPr>
          <w:rFonts w:ascii="Garamond" w:eastAsia="EB Garamond" w:hAnsi="Garamond" w:cs="EB Garamond"/>
          <w:sz w:val="24"/>
          <w:szCs w:val="24"/>
        </w:rPr>
        <w:t xml:space="preserve">v. </w:t>
      </w:r>
      <w:r w:rsidRPr="00E92C1D">
        <w:rPr>
          <w:rFonts w:ascii="Garamond" w:eastAsia="EB Garamond" w:hAnsi="Garamond" w:cs="EB Garamond"/>
          <w:sz w:val="24"/>
          <w:szCs w:val="24"/>
        </w:rPr>
        <w:t xml:space="preserve">Union of </w:t>
      </w:r>
      <w:r w:rsidR="0073250D" w:rsidRPr="00E92C1D">
        <w:rPr>
          <w:rFonts w:ascii="Garamond" w:eastAsia="EB Garamond" w:hAnsi="Garamond" w:cs="EB Garamond"/>
          <w:sz w:val="24"/>
          <w:szCs w:val="24"/>
        </w:rPr>
        <w:t>India (</w:t>
      </w:r>
      <w:r w:rsidRPr="00E92C1D">
        <w:rPr>
          <w:rFonts w:ascii="Garamond" w:eastAsia="EB Garamond" w:hAnsi="Garamond" w:cs="EB Garamond"/>
          <w:sz w:val="24"/>
          <w:szCs w:val="24"/>
        </w:rPr>
        <w:t xml:space="preserve">First Judges </w:t>
      </w:r>
      <w:r w:rsidR="0073250D" w:rsidRPr="00E92C1D">
        <w:rPr>
          <w:rFonts w:ascii="Garamond" w:eastAsia="EB Garamond" w:hAnsi="Garamond" w:cs="EB Garamond"/>
          <w:sz w:val="24"/>
          <w:szCs w:val="24"/>
        </w:rPr>
        <w:t>Case) (</w:t>
      </w:r>
      <w:r w:rsidRPr="00E92C1D">
        <w:rPr>
          <w:rFonts w:ascii="Garamond" w:eastAsia="EB Garamond" w:hAnsi="Garamond" w:cs="EB Garamond"/>
          <w:sz w:val="24"/>
          <w:szCs w:val="24"/>
        </w:rPr>
        <w:t>1981)</w:t>
      </w:r>
    </w:p>
    <w:p w14:paraId="75EA5E17" w14:textId="77777777" w:rsidR="00E92C1D" w:rsidRDefault="00000000" w:rsidP="00E92C1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S.P. Gupta, an advocate in the Allahabad High Court, filed a writ petition challenging a government circular on the appointment of additional judges in High Courts and another order transferring judges. The petition raised questions about the constitutional validity of judicial appointment procedures and whether additional judges could be appointed for short terms under Article 224 of the Constitution. A seven-judge constitutional bench addressed issues relating to the independence of the judiciary and judicial appointments. The Supreme Court held that the Chief Justice of India did not enjoy primacy of opinion over other constitutional functionaries in matters of judicial appointments and that mandamus could not be issued to the government to secure fixation of judge-strength in High Courts. Though this judgment was later overruled by the Second Judges Case in 1993, S.P. Gupta (1981) is known as the First Judges Case and established the foundation for debates on judicial independence. The case </w:t>
      </w:r>
      <w:proofErr w:type="spellStart"/>
      <w:r w:rsidRPr="0073250D">
        <w:rPr>
          <w:rFonts w:ascii="Garamond" w:eastAsia="EB Garamond" w:hAnsi="Garamond" w:cs="EB Garamond"/>
          <w:sz w:val="24"/>
          <w:szCs w:val="24"/>
        </w:rPr>
        <w:t>emphasised</w:t>
      </w:r>
      <w:proofErr w:type="spellEnd"/>
      <w:r w:rsidRPr="0073250D">
        <w:rPr>
          <w:rFonts w:ascii="Garamond" w:eastAsia="EB Garamond" w:hAnsi="Garamond" w:cs="EB Garamond"/>
          <w:sz w:val="24"/>
          <w:szCs w:val="24"/>
        </w:rPr>
        <w:t xml:space="preserve"> the principle of independent jurisdiction—that no organ of government except the judiciary itself can interfere in the selection of judges.</w:t>
      </w:r>
    </w:p>
    <w:p w14:paraId="0000001D" w14:textId="096B8A78"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lastRenderedPageBreak/>
        <w:t>Supreme Court Advocates-on-Record Association v</w:t>
      </w:r>
      <w:r w:rsidR="0073250D" w:rsidRPr="00E92C1D">
        <w:rPr>
          <w:rFonts w:ascii="Garamond" w:eastAsia="EB Garamond" w:hAnsi="Garamond" w:cs="EB Garamond"/>
          <w:sz w:val="24"/>
          <w:szCs w:val="24"/>
        </w:rPr>
        <w:t xml:space="preserve">. </w:t>
      </w:r>
      <w:r w:rsidRPr="00E92C1D">
        <w:rPr>
          <w:rFonts w:ascii="Garamond" w:eastAsia="EB Garamond" w:hAnsi="Garamond" w:cs="EB Garamond"/>
          <w:sz w:val="24"/>
          <w:szCs w:val="24"/>
        </w:rPr>
        <w:t xml:space="preserve">Union of </w:t>
      </w:r>
      <w:r w:rsidR="0073250D" w:rsidRPr="00E92C1D">
        <w:rPr>
          <w:rFonts w:ascii="Garamond" w:eastAsia="EB Garamond" w:hAnsi="Garamond" w:cs="EB Garamond"/>
          <w:sz w:val="24"/>
          <w:szCs w:val="24"/>
        </w:rPr>
        <w:t>India (S</w:t>
      </w:r>
      <w:r w:rsidRPr="00E92C1D">
        <w:rPr>
          <w:rFonts w:ascii="Garamond" w:eastAsia="EB Garamond" w:hAnsi="Garamond" w:cs="EB Garamond"/>
          <w:sz w:val="24"/>
          <w:szCs w:val="24"/>
        </w:rPr>
        <w:t xml:space="preserve">econd </w:t>
      </w:r>
      <w:r w:rsidR="0073250D" w:rsidRPr="00E92C1D">
        <w:rPr>
          <w:rFonts w:ascii="Garamond" w:eastAsia="EB Garamond" w:hAnsi="Garamond" w:cs="EB Garamond"/>
          <w:sz w:val="24"/>
          <w:szCs w:val="24"/>
        </w:rPr>
        <w:t>Judges’</w:t>
      </w:r>
      <w:r w:rsidRPr="00E92C1D">
        <w:rPr>
          <w:rFonts w:ascii="Garamond" w:eastAsia="EB Garamond" w:hAnsi="Garamond" w:cs="EB Garamond"/>
          <w:sz w:val="24"/>
          <w:szCs w:val="24"/>
        </w:rPr>
        <w:t xml:space="preserve"> </w:t>
      </w:r>
      <w:r w:rsidR="0073250D" w:rsidRPr="00E92C1D">
        <w:rPr>
          <w:rFonts w:ascii="Garamond" w:eastAsia="EB Garamond" w:hAnsi="Garamond" w:cs="EB Garamond"/>
          <w:sz w:val="24"/>
          <w:szCs w:val="24"/>
        </w:rPr>
        <w:t>C</w:t>
      </w:r>
      <w:r w:rsidRPr="00E92C1D">
        <w:rPr>
          <w:rFonts w:ascii="Garamond" w:eastAsia="EB Garamond" w:hAnsi="Garamond" w:cs="EB Garamond"/>
          <w:sz w:val="24"/>
          <w:szCs w:val="24"/>
        </w:rPr>
        <w:t>ase) (1993)</w:t>
      </w:r>
    </w:p>
    <w:p w14:paraId="0000001E" w14:textId="77777777"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The Supreme Court Advocates-on-Record Association and other advocates filed a writ petition for filling vacancies of judges in the Supreme Court and High Courts, challenging the appointment procedures. The Supreme Court held that the Chief Justice of India has a unique, singular, and primal role in judicial appointments. The Court established that the CJI's role is participatory with the executive on a level of "togetherness and mutuality," and neither the CJI nor the executive can push through an appointment against the wishes of the other. This judgment effectively reversed the position in the S.P. Gupta case and established that the CJI's opinion cannot be overridden by the executive in judicial appointments. The ruling solidified the collegium system for judicial appointments, giving primacy to judicial opinion over executive discretion and reinforcing judicial independence as essential to the Constitution's basic structure.</w:t>
      </w:r>
    </w:p>
    <w:p w14:paraId="0000001F" w14:textId="7AF29C0A" w:rsidR="00487EAB" w:rsidRPr="00E92C1D" w:rsidRDefault="00E92C1D" w:rsidP="00E92C1D">
      <w:pPr>
        <w:pStyle w:val="ListParagraph"/>
        <w:numPr>
          <w:ilvl w:val="0"/>
          <w:numId w:val="4"/>
        </w:numPr>
        <w:spacing w:before="240" w:after="240" w:line="360" w:lineRule="auto"/>
        <w:jc w:val="both"/>
        <w:rPr>
          <w:rFonts w:ascii="Garamond" w:eastAsia="EB Garamond" w:hAnsi="Garamond" w:cs="EB Garamond"/>
          <w:sz w:val="24"/>
          <w:szCs w:val="24"/>
        </w:rPr>
      </w:pPr>
      <w:r>
        <w:rPr>
          <w:rFonts w:ascii="Garamond" w:eastAsia="EB Garamond" w:hAnsi="Garamond" w:cs="EB Garamond"/>
          <w:sz w:val="24"/>
          <w:szCs w:val="24"/>
        </w:rPr>
        <w:t>In</w:t>
      </w:r>
      <w:r w:rsidRPr="00E92C1D">
        <w:rPr>
          <w:rFonts w:ascii="Garamond" w:eastAsia="EB Garamond" w:hAnsi="Garamond" w:cs="EB Garamond"/>
          <w:sz w:val="24"/>
          <w:szCs w:val="24"/>
        </w:rPr>
        <w:t xml:space="preserve"> Re: Presidential Reference (Third Judges Case) (1998)</w:t>
      </w:r>
    </w:p>
    <w:p w14:paraId="00000020" w14:textId="13413E9A"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President K.R. Narayanan referred questions to the Supreme Court seeking clarification on the interpretation of the word "consultation" in Articles 124(2) and 217(1) of the Constitution regarding judicial appointments. The President sought to know whether "consultation with the Chief Justice of India" required consultation with only the CJI or with a plurality of judges. A nine-judge bench deliberated on whether the term "consultation" mandated merely advisory opinion from the CJI or whether it required the mandatory concurrence of senior judges. The Supreme Court held that the term "consultation" was not limited to the CJI alone but required that the CJI consult with a plurality of judges—specifically the four senior-most judges. The Court </w:t>
      </w:r>
      <w:r w:rsidR="0073250D" w:rsidRPr="0073250D">
        <w:rPr>
          <w:rFonts w:ascii="Garamond" w:eastAsia="EB Garamond" w:hAnsi="Garamond" w:cs="EB Garamond"/>
          <w:sz w:val="24"/>
          <w:szCs w:val="24"/>
        </w:rPr>
        <w:t>emphasized</w:t>
      </w:r>
      <w:r w:rsidRPr="0073250D">
        <w:rPr>
          <w:rFonts w:ascii="Garamond" w:eastAsia="EB Garamond" w:hAnsi="Garamond" w:cs="EB Garamond"/>
          <w:sz w:val="24"/>
          <w:szCs w:val="24"/>
        </w:rPr>
        <w:t xml:space="preserve"> that the Constitution's framers envisaged a system insulating the judiciary from unilateral executive influence through multiple senior judges' input. This Third Judges Case effectively modified the collegium system by establishing collective decision-making among the CJI and four senior judges, moving from earlier interpretations and </w:t>
      </w:r>
      <w:r w:rsidR="0073250D" w:rsidRPr="0073250D">
        <w:rPr>
          <w:rFonts w:ascii="Garamond" w:eastAsia="EB Garamond" w:hAnsi="Garamond" w:cs="EB Garamond"/>
          <w:sz w:val="24"/>
          <w:szCs w:val="24"/>
        </w:rPr>
        <w:t>emphasizing</w:t>
      </w:r>
      <w:r w:rsidRPr="0073250D">
        <w:rPr>
          <w:rFonts w:ascii="Garamond" w:eastAsia="EB Garamond" w:hAnsi="Garamond" w:cs="EB Garamond"/>
          <w:sz w:val="24"/>
          <w:szCs w:val="24"/>
        </w:rPr>
        <w:t xml:space="preserve"> collegiality and diverse judicial perspectives in appointments.</w:t>
      </w:r>
    </w:p>
    <w:p w14:paraId="00000021" w14:textId="3F272DB5"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Supreme Court Advocates-on-Record Association v</w:t>
      </w:r>
      <w:r w:rsidR="0073250D" w:rsidRPr="00E92C1D">
        <w:rPr>
          <w:rFonts w:ascii="Garamond" w:eastAsia="EB Garamond" w:hAnsi="Garamond" w:cs="EB Garamond"/>
          <w:sz w:val="24"/>
          <w:szCs w:val="24"/>
        </w:rPr>
        <w:t xml:space="preserve">. </w:t>
      </w:r>
      <w:r w:rsidRPr="00E92C1D">
        <w:rPr>
          <w:rFonts w:ascii="Garamond" w:eastAsia="EB Garamond" w:hAnsi="Garamond" w:cs="EB Garamond"/>
          <w:sz w:val="24"/>
          <w:szCs w:val="24"/>
        </w:rPr>
        <w:t>Union of India (2015)</w:t>
      </w:r>
    </w:p>
    <w:p w14:paraId="00000022" w14:textId="77777777"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The Supreme Court Advocates-on-Record Association challenged the constitutional validity of the 99th Constitutional Amendment Act, 2014, and the National Judicial Appointments Commission (NJAC) Act, 2014. Parliament had enacted these to replace the collegium system with a National </w:t>
      </w:r>
      <w:r w:rsidRPr="0073250D">
        <w:rPr>
          <w:rFonts w:ascii="Garamond" w:eastAsia="EB Garamond" w:hAnsi="Garamond" w:cs="EB Garamond"/>
          <w:sz w:val="24"/>
          <w:szCs w:val="24"/>
        </w:rPr>
        <w:lastRenderedPageBreak/>
        <w:t>Judicial Appointments Commission involving the executive, legislature, and civil society representatives. The petitioners argued that the NJAC compromised judicial independence and violated the Constitution's basic structure by giving executive members a role in judicial appointments. The Supreme Court by a 4:1 majority struck down the 99th Amendment Act and the NJAC Act as unconstitutional, preserving the collegium system. The Court held that judicial independence is a part of the Constitution's basic structure and cannot be compromised even through constitutional amendment. This Fourth Judges Case reaffirmed the judiciary's autonomy in appointments and transfers, acknowledging the collegium system's flaws while calling for reforms to enhance transparency and accountability. The judgment reinforced the separation of powers and highlighted that the judiciary must remain insulated from executive and legislative interference in judicial appointments.</w:t>
      </w:r>
    </w:p>
    <w:p w14:paraId="00000023" w14:textId="77777777" w:rsidR="00487EAB" w:rsidRPr="0073250D" w:rsidRDefault="00000000" w:rsidP="00E92C1D">
      <w:pPr>
        <w:spacing w:before="240" w:after="240" w:line="360" w:lineRule="auto"/>
        <w:jc w:val="both"/>
        <w:rPr>
          <w:rFonts w:ascii="Garamond" w:eastAsia="EB Garamond" w:hAnsi="Garamond" w:cs="EB Garamond"/>
          <w:b/>
          <w:bCs/>
          <w:sz w:val="24"/>
          <w:szCs w:val="24"/>
        </w:rPr>
      </w:pPr>
      <w:r w:rsidRPr="0073250D">
        <w:rPr>
          <w:rFonts w:ascii="Garamond" w:eastAsia="EB Garamond" w:hAnsi="Garamond" w:cs="EB Garamond"/>
          <w:b/>
          <w:bCs/>
          <w:sz w:val="24"/>
          <w:szCs w:val="24"/>
        </w:rPr>
        <w:t xml:space="preserve">Environment and the People of India </w:t>
      </w:r>
    </w:p>
    <w:p w14:paraId="00000024" w14:textId="3BCCB1D5"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M.C. Mehta v. Union of India (1987) - Oleum Gas Leak Case</w:t>
      </w:r>
    </w:p>
    <w:p w14:paraId="00000025" w14:textId="1D03734D"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Following the Bhopal gas disaster of 1984, Shriram Food and </w:t>
      </w:r>
      <w:proofErr w:type="spellStart"/>
      <w:r w:rsidRPr="0073250D">
        <w:rPr>
          <w:rFonts w:ascii="Garamond" w:eastAsia="EB Garamond" w:hAnsi="Garamond" w:cs="EB Garamond"/>
          <w:sz w:val="24"/>
          <w:szCs w:val="24"/>
        </w:rPr>
        <w:t>Fertiliser</w:t>
      </w:r>
      <w:proofErr w:type="spellEnd"/>
      <w:r w:rsidRPr="0073250D">
        <w:rPr>
          <w:rFonts w:ascii="Garamond" w:eastAsia="EB Garamond" w:hAnsi="Garamond" w:cs="EB Garamond"/>
          <w:sz w:val="24"/>
          <w:szCs w:val="24"/>
        </w:rPr>
        <w:t xml:space="preserve"> Industries' caustic chlorine plant in densely populated Delhi leaked oleum gas, killing one person and </w:t>
      </w:r>
      <w:proofErr w:type="spellStart"/>
      <w:r w:rsidRPr="0073250D">
        <w:rPr>
          <w:rFonts w:ascii="Garamond" w:eastAsia="EB Garamond" w:hAnsi="Garamond" w:cs="EB Garamond"/>
          <w:sz w:val="24"/>
          <w:szCs w:val="24"/>
        </w:rPr>
        <w:t>hospitalising</w:t>
      </w:r>
      <w:proofErr w:type="spellEnd"/>
      <w:r w:rsidRPr="0073250D">
        <w:rPr>
          <w:rFonts w:ascii="Garamond" w:eastAsia="EB Garamond" w:hAnsi="Garamond" w:cs="EB Garamond"/>
          <w:sz w:val="24"/>
          <w:szCs w:val="24"/>
        </w:rPr>
        <w:t xml:space="preserve"> several others. Environmental activist M.C. Mehta filed a public interest petition seeking the plant's closure and establishing principles of liability. The Supreme Court established several groundbreaking principles: (</w:t>
      </w:r>
      <w:r w:rsidR="0073250D">
        <w:rPr>
          <w:rFonts w:ascii="Garamond" w:eastAsia="EB Garamond" w:hAnsi="Garamond" w:cs="EB Garamond"/>
          <w:sz w:val="24"/>
          <w:szCs w:val="24"/>
        </w:rPr>
        <w:t>i</w:t>
      </w:r>
      <w:r w:rsidRPr="0073250D">
        <w:rPr>
          <w:rFonts w:ascii="Garamond" w:eastAsia="EB Garamond" w:hAnsi="Garamond" w:cs="EB Garamond"/>
          <w:sz w:val="24"/>
          <w:szCs w:val="24"/>
        </w:rPr>
        <w:t>) Absolute Liability: Industries engaged in inherently dangerous activities are absolutely liable for environmental damage without the requirement to prove negligence. (</w:t>
      </w:r>
      <w:r w:rsidR="0073250D">
        <w:rPr>
          <w:rFonts w:ascii="Garamond" w:eastAsia="EB Garamond" w:hAnsi="Garamond" w:cs="EB Garamond"/>
          <w:sz w:val="24"/>
          <w:szCs w:val="24"/>
        </w:rPr>
        <w:t>ii</w:t>
      </w:r>
      <w:r w:rsidRPr="0073250D">
        <w:rPr>
          <w:rFonts w:ascii="Garamond" w:eastAsia="EB Garamond" w:hAnsi="Garamond" w:cs="EB Garamond"/>
          <w:sz w:val="24"/>
          <w:szCs w:val="24"/>
        </w:rPr>
        <w:t>) Broad Remedy Power: Article 32 empowers the Court not merely to prevent violations but also to grant remedies for past violations, including compensation. (</w:t>
      </w:r>
      <w:r w:rsidR="0073250D">
        <w:rPr>
          <w:rFonts w:ascii="Garamond" w:eastAsia="EB Garamond" w:hAnsi="Garamond" w:cs="EB Garamond"/>
          <w:sz w:val="24"/>
          <w:szCs w:val="24"/>
        </w:rPr>
        <w:t>iii</w:t>
      </w:r>
      <w:r w:rsidRPr="0073250D">
        <w:rPr>
          <w:rFonts w:ascii="Garamond" w:eastAsia="EB Garamond" w:hAnsi="Garamond" w:cs="EB Garamond"/>
          <w:sz w:val="24"/>
          <w:szCs w:val="24"/>
        </w:rPr>
        <w:t>) Polluter Pays Principle: Those responsible for pollution must bear the costs of environmental damage and restoration. (</w:t>
      </w:r>
      <w:r w:rsidR="0073250D">
        <w:rPr>
          <w:rFonts w:ascii="Garamond" w:eastAsia="EB Garamond" w:hAnsi="Garamond" w:cs="EB Garamond"/>
          <w:sz w:val="24"/>
          <w:szCs w:val="24"/>
        </w:rPr>
        <w:t>iv</w:t>
      </w:r>
      <w:r w:rsidRPr="0073250D">
        <w:rPr>
          <w:rFonts w:ascii="Garamond" w:eastAsia="EB Garamond" w:hAnsi="Garamond" w:cs="EB Garamond"/>
          <w:sz w:val="24"/>
          <w:szCs w:val="24"/>
        </w:rPr>
        <w:t xml:space="preserve">) Adequate Compensation: Compensation must be correlated to the magnitude of the industry and the damage caused, serving as a deterrent. This judgment transformed environmental law in India. It established strict liability for industrial hazards, expanded the concept of fundamental rights (Article 21) to include environmental protection, and pioneered public interest litigation. The principles established became foundational to environmental regulations and influenced global environmental law. The judgment </w:t>
      </w:r>
      <w:r w:rsidR="0073250D" w:rsidRPr="0073250D">
        <w:rPr>
          <w:rFonts w:ascii="Garamond" w:eastAsia="EB Garamond" w:hAnsi="Garamond" w:cs="EB Garamond"/>
          <w:sz w:val="24"/>
          <w:szCs w:val="24"/>
        </w:rPr>
        <w:t>recognized</w:t>
      </w:r>
      <w:r w:rsidRPr="0073250D">
        <w:rPr>
          <w:rFonts w:ascii="Garamond" w:eastAsia="EB Garamond" w:hAnsi="Garamond" w:cs="EB Garamond"/>
          <w:sz w:val="24"/>
          <w:szCs w:val="24"/>
        </w:rPr>
        <w:t xml:space="preserve"> that development cannot come at the cost of environmental devastation and that industries must </w:t>
      </w:r>
      <w:r w:rsidR="0073250D" w:rsidRPr="0073250D">
        <w:rPr>
          <w:rFonts w:ascii="Garamond" w:eastAsia="EB Garamond" w:hAnsi="Garamond" w:cs="EB Garamond"/>
          <w:sz w:val="24"/>
          <w:szCs w:val="24"/>
        </w:rPr>
        <w:t>internalize</w:t>
      </w:r>
      <w:r w:rsidRPr="0073250D">
        <w:rPr>
          <w:rFonts w:ascii="Garamond" w:eastAsia="EB Garamond" w:hAnsi="Garamond" w:cs="EB Garamond"/>
          <w:sz w:val="24"/>
          <w:szCs w:val="24"/>
        </w:rPr>
        <w:t xml:space="preserve"> the costs of pollution.</w:t>
      </w:r>
    </w:p>
    <w:p w14:paraId="00000026" w14:textId="7FEAB9DC"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highlight w:val="white"/>
        </w:rPr>
        <w:lastRenderedPageBreak/>
        <w:t xml:space="preserve">M.K. Ranjitsinh </w:t>
      </w:r>
      <w:r w:rsidR="0073250D" w:rsidRPr="00E92C1D">
        <w:rPr>
          <w:rFonts w:ascii="Garamond" w:eastAsia="EB Garamond" w:hAnsi="Garamond" w:cs="EB Garamond"/>
          <w:sz w:val="24"/>
          <w:szCs w:val="24"/>
        </w:rPr>
        <w:t>v</w:t>
      </w:r>
      <w:r w:rsidRPr="00E92C1D">
        <w:rPr>
          <w:rFonts w:ascii="Garamond" w:eastAsia="EB Garamond" w:hAnsi="Garamond" w:cs="EB Garamond"/>
          <w:sz w:val="24"/>
          <w:szCs w:val="24"/>
        </w:rPr>
        <w:t xml:space="preserve">. UOI (2024) </w:t>
      </w:r>
    </w:p>
    <w:p w14:paraId="00000027" w14:textId="751B9596"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This is a landmark case on mitigation of climate change impacts specifically for the two endangered species the Great Indian Bustard (GIB) and Lesser Florican. The petitioners </w:t>
      </w:r>
      <w:r w:rsidR="0073250D" w:rsidRPr="0073250D">
        <w:rPr>
          <w:rFonts w:ascii="Garamond" w:eastAsia="EB Garamond" w:hAnsi="Garamond" w:cs="EB Garamond"/>
          <w:sz w:val="24"/>
          <w:szCs w:val="24"/>
        </w:rPr>
        <w:t>emphasized</w:t>
      </w:r>
      <w:r w:rsidRPr="0073250D">
        <w:rPr>
          <w:rFonts w:ascii="Garamond" w:eastAsia="EB Garamond" w:hAnsi="Garamond" w:cs="EB Garamond"/>
          <w:sz w:val="24"/>
          <w:szCs w:val="24"/>
        </w:rPr>
        <w:t xml:space="preserve"> on the proliferation of power infrastructure and the threat it caused to the endangered species. The central task for the Court was to create a balance between the protection </w:t>
      </w:r>
      <w:r w:rsidR="0073250D" w:rsidRPr="0073250D">
        <w:rPr>
          <w:rFonts w:ascii="Garamond" w:eastAsia="EB Garamond" w:hAnsi="Garamond" w:cs="EB Garamond"/>
          <w:sz w:val="24"/>
          <w:szCs w:val="24"/>
        </w:rPr>
        <w:t>of these</w:t>
      </w:r>
      <w:r w:rsidRPr="0073250D">
        <w:rPr>
          <w:rFonts w:ascii="Garamond" w:eastAsia="EB Garamond" w:hAnsi="Garamond" w:cs="EB Garamond"/>
          <w:sz w:val="24"/>
          <w:szCs w:val="24"/>
        </w:rPr>
        <w:t xml:space="preserve"> species and the State’s international commitment to promote renewable energy. The Court directed the government to limit the undergrounding of all power lines in the priority areas where feasible and ordered the installation of bird diverters in other regions. This case proved to be an important case for the protection of biodiversity and climate change and encouraged further climate ligation in India. </w:t>
      </w:r>
    </w:p>
    <w:p w14:paraId="00000028" w14:textId="77777777" w:rsidR="00487EAB" w:rsidRPr="0073250D" w:rsidRDefault="00000000" w:rsidP="00E92C1D">
      <w:pPr>
        <w:spacing w:before="240" w:after="240" w:line="360" w:lineRule="auto"/>
        <w:jc w:val="both"/>
        <w:rPr>
          <w:rFonts w:ascii="Garamond" w:eastAsia="EB Garamond" w:hAnsi="Garamond" w:cs="EB Garamond"/>
          <w:b/>
          <w:bCs/>
          <w:sz w:val="24"/>
          <w:szCs w:val="24"/>
        </w:rPr>
      </w:pPr>
      <w:r w:rsidRPr="0073250D">
        <w:rPr>
          <w:rFonts w:ascii="Garamond" w:eastAsia="EB Garamond" w:hAnsi="Garamond" w:cs="EB Garamond"/>
          <w:b/>
          <w:bCs/>
          <w:sz w:val="24"/>
          <w:szCs w:val="24"/>
        </w:rPr>
        <w:t>Ensuring Justice through the right of Fair Trial</w:t>
      </w:r>
    </w:p>
    <w:p w14:paraId="00000029" w14:textId="0C9B16EF"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A.K. Gopalan v. State of Madras (1950)</w:t>
      </w:r>
    </w:p>
    <w:p w14:paraId="0000002A" w14:textId="77777777"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The first major interpretation of fundamental rights by the Supreme Court of India. This case dealt with the constitutionality of preventive detention laws testing the compatibility of the Preventive Detention Act, 1950 with Article 19, 21 and 22 of the Indian Constitution. A.K. Gopalan, a communist leader, was detained under the Preventive Detention Act, 1950. He challenged the detention, arguing a violation of fundamental rights. The Court adopted a highly restrictive approach, holding that as long as detention followed a "procedure established by law," it was constitutional. The Court refused to examine whether the law itself was just, fair, or reasonable—only whether the procedure was followed. This judgment essentially subordinated fundamental rights to executive action and deferred heavily to Parliament.</w:t>
      </w:r>
    </w:p>
    <w:p w14:paraId="0000002B" w14:textId="2D1D47E1"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Maneka Gandhi v. Union of India (1978)</w:t>
      </w:r>
    </w:p>
    <w:p w14:paraId="0000002C" w14:textId="3E469494"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Overruling the decision made by A.K. Gopalan, this case became the foundation for the progressive interpretation of constitutional law. The Government impounded Maneka Gandhi's passport "in the public interest" without providing reasons or an opportunity to be heard. She challenged this arbitrary action. The Supreme Court delivered a landmark judgment, establishing the "Golden Triangle" principle—that Articles 14 (equality), 19 (liberty), and 21 (life and personal liberty) are interlinked and mutually reinforcing. The Court ruled that any law depriving personal liberty must be reasonable, fair, and just, not merely procedurally correct.</w:t>
      </w:r>
      <w:r w:rsidR="0073250D">
        <w:rPr>
          <w:rFonts w:ascii="Garamond" w:eastAsia="EB Garamond" w:hAnsi="Garamond" w:cs="EB Garamond"/>
          <w:sz w:val="24"/>
          <w:szCs w:val="24"/>
        </w:rPr>
        <w:t xml:space="preserve"> </w:t>
      </w:r>
      <w:r w:rsidRPr="0073250D">
        <w:rPr>
          <w:rFonts w:ascii="Garamond" w:eastAsia="EB Garamond" w:hAnsi="Garamond" w:cs="EB Garamond"/>
          <w:sz w:val="24"/>
          <w:szCs w:val="24"/>
        </w:rPr>
        <w:t xml:space="preserve">The Court moved from formalistic interpretation to </w:t>
      </w:r>
      <w:r w:rsidRPr="0073250D">
        <w:rPr>
          <w:rFonts w:ascii="Garamond" w:eastAsia="EB Garamond" w:hAnsi="Garamond" w:cs="EB Garamond"/>
          <w:sz w:val="24"/>
          <w:szCs w:val="24"/>
        </w:rPr>
        <w:lastRenderedPageBreak/>
        <w:t xml:space="preserve">substantive examination of rights. It established that procedural fairness alone is insufficient; laws must embody substantive justice. </w:t>
      </w:r>
    </w:p>
    <w:p w14:paraId="0000002D" w14:textId="0D8F394E"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Rudal Shah v</w:t>
      </w:r>
      <w:r w:rsidR="0073250D" w:rsidRPr="00E92C1D">
        <w:rPr>
          <w:rFonts w:ascii="Garamond" w:eastAsia="EB Garamond" w:hAnsi="Garamond" w:cs="EB Garamond"/>
          <w:sz w:val="24"/>
          <w:szCs w:val="24"/>
        </w:rPr>
        <w:t xml:space="preserve">. </w:t>
      </w:r>
      <w:r w:rsidRPr="00E92C1D">
        <w:rPr>
          <w:rFonts w:ascii="Garamond" w:eastAsia="EB Garamond" w:hAnsi="Garamond" w:cs="EB Garamond"/>
          <w:sz w:val="24"/>
          <w:szCs w:val="24"/>
        </w:rPr>
        <w:t>State of Bihar (1983)</w:t>
      </w:r>
    </w:p>
    <w:p w14:paraId="0000002E" w14:textId="299592D1"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Rudal Shah was arrested in 1953 on charges of murdering his wife and was acquitted by the Muzaffarpur Sessions Court on June 3, 1968. Despite his acquittal, he remained incarcerated until October 16, 1982, enduring fourteen years of unlawful imprisonment. He filed a writ petition under Article 32 seeking habeas corpus and ancillary relief, including compensation for his false imprisonment. The Supreme Court held that while the Constitution did not explicitly provide remedies for violation of fundamental rights, Article 32 empowered the Court to grant monetary compensation as ancillary relief. The Court ruled that if the State violated fundamental rights, it shall be liable to compensate the victim, and simply releasing an illegally detained person without monetary relief would make the Court's role insignificant. This landmark judgment established compensatory jurisprudence in constitutional law and overturned the previous rule in the </w:t>
      </w:r>
      <w:r w:rsidR="0073250D" w:rsidRPr="0073250D">
        <w:rPr>
          <w:rFonts w:ascii="Garamond" w:eastAsia="EB Garamond" w:hAnsi="Garamond" w:cs="EB Garamond"/>
          <w:sz w:val="24"/>
          <w:szCs w:val="24"/>
        </w:rPr>
        <w:t>Kasturi Lal</w:t>
      </w:r>
      <w:r w:rsidRPr="0073250D">
        <w:rPr>
          <w:rFonts w:ascii="Garamond" w:eastAsia="EB Garamond" w:hAnsi="Garamond" w:cs="EB Garamond"/>
          <w:sz w:val="24"/>
          <w:szCs w:val="24"/>
        </w:rPr>
        <w:t xml:space="preserve"> case that granted state immunity from tortious liability. The case paved the way for monetary compensation in cases of fundamental rights violations and expanded State liability beyond mere release orders.</w:t>
      </w:r>
    </w:p>
    <w:p w14:paraId="0000002F" w14:textId="3BA78FC0"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M.H. Hoskot v</w:t>
      </w:r>
      <w:r w:rsidR="0073250D" w:rsidRPr="00E92C1D">
        <w:rPr>
          <w:rFonts w:ascii="Garamond" w:eastAsia="EB Garamond" w:hAnsi="Garamond" w:cs="EB Garamond"/>
          <w:sz w:val="24"/>
          <w:szCs w:val="24"/>
        </w:rPr>
        <w:t xml:space="preserve">. </w:t>
      </w:r>
      <w:r w:rsidRPr="00E92C1D">
        <w:rPr>
          <w:rFonts w:ascii="Garamond" w:eastAsia="EB Garamond" w:hAnsi="Garamond" w:cs="EB Garamond"/>
          <w:sz w:val="24"/>
          <w:szCs w:val="24"/>
        </w:rPr>
        <w:t>State of Maharashtra (1978)</w:t>
      </w:r>
    </w:p>
    <w:p w14:paraId="00000030" w14:textId="77777777"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M.H. Hoskot, a PhD holder, was convicted of forging counterfeit degrees under Sections 417, 467, 468, 471 and 511 of the IPC with a sentence of simple imprisonment. While dismissing his special leave petition against the sentence, the Supreme Court addressed critical issues regarding prisoner rights and legal aid. The Court held that there is a constitutional right to free legal aid and that free legal services at trial and appellate levels, where deprivation of life or personal liberty is at stake, are necessary components of procedural justice. The Court established that when a prisoner is disabled from engaging a lawyer due to indigence or incommunicado situations, the Court shall assign competent counsel provided circumstances justify it. This landmark ruling established the constitutional right of prisoners to free legal aid and reinforced their fundamental right to a fair trial, becoming a cornerstone for subsequent legal reforms regarding prisoner rights.</w:t>
      </w:r>
    </w:p>
    <w:p w14:paraId="00000031" w14:textId="3D6BB172"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Hussainara Khatoon v</w:t>
      </w:r>
      <w:r w:rsidR="0073250D" w:rsidRPr="00E92C1D">
        <w:rPr>
          <w:rFonts w:ascii="Garamond" w:eastAsia="EB Garamond" w:hAnsi="Garamond" w:cs="EB Garamond"/>
          <w:sz w:val="24"/>
          <w:szCs w:val="24"/>
        </w:rPr>
        <w:t xml:space="preserve">. </w:t>
      </w:r>
      <w:r w:rsidRPr="00E92C1D">
        <w:rPr>
          <w:rFonts w:ascii="Garamond" w:eastAsia="EB Garamond" w:hAnsi="Garamond" w:cs="EB Garamond"/>
          <w:sz w:val="24"/>
          <w:szCs w:val="24"/>
        </w:rPr>
        <w:t xml:space="preserve">State of Bihar (1979) </w:t>
      </w:r>
    </w:p>
    <w:p w14:paraId="00000032" w14:textId="0619FCB0"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lastRenderedPageBreak/>
        <w:t xml:space="preserve">Advocate Pushpa Kapila Hingorani filed a writ petition on behalf of Hussainara Khatoon and undertrial prisoners in Bihar jails, following an article in Indian Express about prisoners detained beyond the expiration of their detention periods. Hussainara Khatoon herself had been imprisoned for 4-5 years despite a direct government order to release prisoners held under the Foreigners Act. The Supreme Court held that every prisoner has a fundamental right to a speedy trial under Article 21 of the Constitution and that immediate bail should be granted with personal sureties. The Court </w:t>
      </w:r>
      <w:r w:rsidR="0073250D" w:rsidRPr="0073250D">
        <w:rPr>
          <w:rFonts w:ascii="Garamond" w:eastAsia="EB Garamond" w:hAnsi="Garamond" w:cs="EB Garamond"/>
          <w:sz w:val="24"/>
          <w:szCs w:val="24"/>
        </w:rPr>
        <w:t>emphasized</w:t>
      </w:r>
      <w:r w:rsidRPr="0073250D">
        <w:rPr>
          <w:rFonts w:ascii="Garamond" w:eastAsia="EB Garamond" w:hAnsi="Garamond" w:cs="EB Garamond"/>
          <w:sz w:val="24"/>
          <w:szCs w:val="24"/>
        </w:rPr>
        <w:t xml:space="preserve"> that the Constitution vehemently opposes discrimination in fundamental rights and criticized the judicial system's failure to address such discrimination. The Court ordered free legal aid to undertrial prisoners charged with bailable offences and directed the state government and High Court to submit lists of all pending cases with reasons by December 31st. Subsequent directions in Hussainara Khatoon II and III cases established that undertrial prisoners must be presented before magistrates according to CrPC procedures and that continuous detention violates Article 21 rights.</w:t>
      </w:r>
    </w:p>
    <w:p w14:paraId="00000033" w14:textId="63698311"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 xml:space="preserve">All India Judges Association </w:t>
      </w:r>
      <w:r w:rsidR="0073250D" w:rsidRPr="00E92C1D">
        <w:rPr>
          <w:rFonts w:ascii="Garamond" w:eastAsia="EB Garamond" w:hAnsi="Garamond" w:cs="EB Garamond"/>
          <w:sz w:val="24"/>
          <w:szCs w:val="24"/>
        </w:rPr>
        <w:t>v</w:t>
      </w:r>
      <w:r w:rsidRPr="00E92C1D">
        <w:rPr>
          <w:rFonts w:ascii="Garamond" w:eastAsia="EB Garamond" w:hAnsi="Garamond" w:cs="EB Garamond"/>
          <w:sz w:val="24"/>
          <w:szCs w:val="24"/>
        </w:rPr>
        <w:t xml:space="preserve">. Union </w:t>
      </w:r>
      <w:r w:rsidR="0073250D" w:rsidRPr="00E92C1D">
        <w:rPr>
          <w:rFonts w:ascii="Garamond" w:eastAsia="EB Garamond" w:hAnsi="Garamond" w:cs="EB Garamond"/>
          <w:sz w:val="24"/>
          <w:szCs w:val="24"/>
        </w:rPr>
        <w:t>o</w:t>
      </w:r>
      <w:r w:rsidRPr="00E92C1D">
        <w:rPr>
          <w:rFonts w:ascii="Garamond" w:eastAsia="EB Garamond" w:hAnsi="Garamond" w:cs="EB Garamond"/>
          <w:sz w:val="24"/>
          <w:szCs w:val="24"/>
        </w:rPr>
        <w:t>f India</w:t>
      </w:r>
    </w:p>
    <w:p w14:paraId="00000034" w14:textId="0C1A0145"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highlight w:val="white"/>
        </w:rPr>
        <w:t xml:space="preserve">The </w:t>
      </w:r>
      <w:r w:rsidR="0073250D" w:rsidRPr="0073250D">
        <w:rPr>
          <w:rFonts w:ascii="Garamond" w:eastAsia="EB Garamond" w:hAnsi="Garamond" w:cs="EB Garamond"/>
          <w:sz w:val="24"/>
          <w:szCs w:val="24"/>
          <w:highlight w:val="white"/>
        </w:rPr>
        <w:t>All-India</w:t>
      </w:r>
      <w:r w:rsidRPr="0073250D">
        <w:rPr>
          <w:rFonts w:ascii="Garamond" w:eastAsia="EB Garamond" w:hAnsi="Garamond" w:cs="EB Garamond"/>
          <w:sz w:val="24"/>
          <w:szCs w:val="24"/>
          <w:highlight w:val="white"/>
        </w:rPr>
        <w:t xml:space="preserve"> Judges Association vs United of India (2025) decision significantly affirms the three-year legal practice requirement for civil court (junior Division), reinforcing the importance of judicial competency within India’s constitutional framework. By upholding the criteria under Article 14, 19(1)(g) and 233, the Supreme Court balanced the state authority to regulate judicial appointment with the fundamental rights of aspirants, ensuring that practical experience remains a cornerstone of judicial recruitment. The court’s reliance on cases like </w:t>
      </w:r>
      <w:r w:rsidR="0073250D" w:rsidRPr="0073250D">
        <w:rPr>
          <w:rFonts w:ascii="Garamond" w:eastAsia="EB Garamond" w:hAnsi="Garamond" w:cs="EB Garamond"/>
          <w:sz w:val="24"/>
          <w:szCs w:val="24"/>
          <w:highlight w:val="white"/>
        </w:rPr>
        <w:t>Kesavananda</w:t>
      </w:r>
      <w:r w:rsidRPr="0073250D">
        <w:rPr>
          <w:rFonts w:ascii="Garamond" w:eastAsia="EB Garamond" w:hAnsi="Garamond" w:cs="EB Garamond"/>
          <w:sz w:val="24"/>
          <w:szCs w:val="24"/>
          <w:highlight w:val="white"/>
        </w:rPr>
        <w:t xml:space="preserve"> Bharati and State of Bihar vs Bal Mukund Sah (2000), the judiciary’s commitment to maintain a high standard of adjudication while preserving its autonomy under Article 233.</w:t>
      </w:r>
    </w:p>
    <w:p w14:paraId="00000035" w14:textId="77777777" w:rsidR="00487EAB" w:rsidRPr="0073250D" w:rsidRDefault="00000000" w:rsidP="00E92C1D">
      <w:pPr>
        <w:spacing w:before="240" w:after="240" w:line="360" w:lineRule="auto"/>
        <w:jc w:val="both"/>
        <w:rPr>
          <w:rFonts w:ascii="Garamond" w:eastAsia="EB Garamond" w:hAnsi="Garamond" w:cs="EB Garamond"/>
          <w:b/>
          <w:bCs/>
          <w:sz w:val="24"/>
          <w:szCs w:val="24"/>
        </w:rPr>
      </w:pPr>
      <w:r w:rsidRPr="0073250D">
        <w:rPr>
          <w:rFonts w:ascii="Garamond" w:eastAsia="EB Garamond" w:hAnsi="Garamond" w:cs="EB Garamond"/>
          <w:b/>
          <w:bCs/>
          <w:sz w:val="24"/>
          <w:szCs w:val="24"/>
        </w:rPr>
        <w:t xml:space="preserve">Discrimination and Affirmative Action through Reservation in India </w:t>
      </w:r>
    </w:p>
    <w:p w14:paraId="00000036" w14:textId="16DDCEC8"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State of Bombay v. Narasu Appa Mali (1951)</w:t>
      </w:r>
    </w:p>
    <w:p w14:paraId="00000037" w14:textId="2CCE973D" w:rsidR="00487EAB" w:rsidRPr="0073250D" w:rsidRDefault="00000000" w:rsidP="0073250D">
      <w:pPr>
        <w:spacing w:before="240" w:after="240" w:line="360" w:lineRule="auto"/>
        <w:jc w:val="both"/>
        <w:rPr>
          <w:rFonts w:ascii="Garamond" w:eastAsia="EB Garamond" w:hAnsi="Garamond" w:cs="EB Garamond"/>
          <w:sz w:val="24"/>
          <w:szCs w:val="24"/>
          <w:u w:val="single"/>
        </w:rPr>
      </w:pPr>
      <w:r w:rsidRPr="0073250D">
        <w:rPr>
          <w:rFonts w:ascii="Garamond" w:eastAsia="EB Garamond" w:hAnsi="Garamond" w:cs="EB Garamond"/>
          <w:sz w:val="24"/>
          <w:szCs w:val="24"/>
        </w:rPr>
        <w:t>A personal law provision made certain religious ceremonies and practices dependent on caste status, effectively enforcing caste-based discrimination.</w:t>
      </w:r>
      <w:r w:rsidR="00341D33">
        <w:rPr>
          <w:rFonts w:ascii="Garamond" w:eastAsia="EB Garamond" w:hAnsi="Garamond" w:cs="EB Garamond"/>
          <w:sz w:val="24"/>
          <w:szCs w:val="24"/>
        </w:rPr>
        <w:t xml:space="preserve"> </w:t>
      </w:r>
      <w:r w:rsidRPr="0073250D">
        <w:rPr>
          <w:rFonts w:ascii="Garamond" w:eastAsia="EB Garamond" w:hAnsi="Garamond" w:cs="EB Garamond"/>
          <w:sz w:val="24"/>
          <w:szCs w:val="24"/>
        </w:rPr>
        <w:t>Narasu Appa Mali challenged this provision as violating Article 15 (prohibition of discrimination on grounds of caste). The Supreme Court held that personal laws are</w:t>
      </w:r>
      <w:r w:rsidR="00341D33">
        <w:rPr>
          <w:rFonts w:ascii="Garamond" w:eastAsia="EB Garamond" w:hAnsi="Garamond" w:cs="EB Garamond"/>
          <w:sz w:val="24"/>
          <w:szCs w:val="24"/>
        </w:rPr>
        <w:t xml:space="preserve"> not </w:t>
      </w:r>
      <w:r w:rsidRPr="0073250D">
        <w:rPr>
          <w:rFonts w:ascii="Garamond" w:eastAsia="EB Garamond" w:hAnsi="Garamond" w:cs="EB Garamond"/>
          <w:sz w:val="24"/>
          <w:szCs w:val="24"/>
        </w:rPr>
        <w:t>exempt from fundamental rights protections. However, the Court distinguished between: (</w:t>
      </w:r>
      <w:r w:rsidR="00341D33">
        <w:rPr>
          <w:rFonts w:ascii="Garamond" w:eastAsia="EB Garamond" w:hAnsi="Garamond" w:cs="EB Garamond"/>
          <w:sz w:val="24"/>
          <w:szCs w:val="24"/>
        </w:rPr>
        <w:t>i</w:t>
      </w:r>
      <w:r w:rsidRPr="0073250D">
        <w:rPr>
          <w:rFonts w:ascii="Garamond" w:eastAsia="EB Garamond" w:hAnsi="Garamond" w:cs="EB Garamond"/>
          <w:sz w:val="24"/>
          <w:szCs w:val="24"/>
        </w:rPr>
        <w:t>) Direct Discrimination: Laws explicitly based on caste are unconstitutional under Article 15; (</w:t>
      </w:r>
      <w:r w:rsidR="00341D33">
        <w:rPr>
          <w:rFonts w:ascii="Garamond" w:eastAsia="EB Garamond" w:hAnsi="Garamond" w:cs="EB Garamond"/>
          <w:sz w:val="24"/>
          <w:szCs w:val="24"/>
        </w:rPr>
        <w:t>ii</w:t>
      </w:r>
      <w:r w:rsidRPr="0073250D">
        <w:rPr>
          <w:rFonts w:ascii="Garamond" w:eastAsia="EB Garamond" w:hAnsi="Garamond" w:cs="EB Garamond"/>
          <w:sz w:val="24"/>
          <w:szCs w:val="24"/>
        </w:rPr>
        <w:t xml:space="preserve">) Indirect Application: Personal laws that indirectly result in caste-based discrimination but are </w:t>
      </w:r>
      <w:r w:rsidRPr="0073250D">
        <w:rPr>
          <w:rFonts w:ascii="Garamond" w:eastAsia="EB Garamond" w:hAnsi="Garamond" w:cs="EB Garamond"/>
          <w:sz w:val="24"/>
          <w:szCs w:val="24"/>
        </w:rPr>
        <w:lastRenderedPageBreak/>
        <w:t>not explicitly framed on caste may be valid; (</w:t>
      </w:r>
      <w:r w:rsidR="00341D33">
        <w:rPr>
          <w:rFonts w:ascii="Garamond" w:eastAsia="EB Garamond" w:hAnsi="Garamond" w:cs="EB Garamond"/>
          <w:sz w:val="24"/>
          <w:szCs w:val="24"/>
        </w:rPr>
        <w:t>iii</w:t>
      </w:r>
      <w:r w:rsidRPr="0073250D">
        <w:rPr>
          <w:rFonts w:ascii="Garamond" w:eastAsia="EB Garamond" w:hAnsi="Garamond" w:cs="EB Garamond"/>
          <w:sz w:val="24"/>
          <w:szCs w:val="24"/>
        </w:rPr>
        <w:t>) Protected Sphere: Religious practices genuinely integral to religion are protected under Articles 25-26, even if they have some caste dimensions, but cannot be used as a shield for pure caste discrimination. This judgment established that fundamental rights are supreme and personal laws cannot be invoked to circumvent them. However, it also recognized the legitimate sphere of personal law and religious freedom. The case initiated the long jurisprudential struggle to balance personal law autonomy with constitutional equality principles—a tension that persists in contemporary Indian constitutional law.</w:t>
      </w:r>
    </w:p>
    <w:p w14:paraId="00000038" w14:textId="2D6B2AA7"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State of Madras v. Champakam Dorairajan (1951)</w:t>
      </w:r>
    </w:p>
    <w:p w14:paraId="00000039" w14:textId="77777777" w:rsidR="00487EAB" w:rsidRPr="0073250D" w:rsidRDefault="00000000" w:rsidP="0073250D">
      <w:pPr>
        <w:spacing w:after="8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The Madras Government issued a Government Order reserving seats in educational institutions based on caste and religion. Champakam Dorairajan, a Brahmin woman with high marks, was denied admission because she did not belong to a reserved category. The Supreme Court struck down this communal Government Order, ruling that it violated Article 15(1), which prohibits discrimination based on caste or religion, and Article 29(2), which ensures equal access to educational institutions. The Court established that the Directive Principles of State Policy cannot override Fundamental Rights. This landmark case affirmed the primacy of Fundamental Rights over Directive Principles and led to the First Amendment, which introduced Article 15(4) to allow for reservations for socially and educationally backward classes. This case laid the foundation for India's modern reservation system</w:t>
      </w:r>
    </w:p>
    <w:p w14:paraId="0000003A" w14:textId="52D37EC1"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 xml:space="preserve">Indra Sawhney </w:t>
      </w:r>
      <w:r w:rsidR="00341D33" w:rsidRPr="00E92C1D">
        <w:rPr>
          <w:rFonts w:ascii="Garamond" w:eastAsia="EB Garamond" w:hAnsi="Garamond" w:cs="EB Garamond"/>
          <w:sz w:val="24"/>
          <w:szCs w:val="24"/>
        </w:rPr>
        <w:t>v</w:t>
      </w:r>
      <w:r w:rsidRPr="00E92C1D">
        <w:rPr>
          <w:rFonts w:ascii="Garamond" w:eastAsia="EB Garamond" w:hAnsi="Garamond" w:cs="EB Garamond"/>
          <w:sz w:val="24"/>
          <w:szCs w:val="24"/>
        </w:rPr>
        <w:t>. UOI (also called Mandal Case) (1992)</w:t>
      </w:r>
    </w:p>
    <w:p w14:paraId="0000003B" w14:textId="0245320F"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The Supreme Court upheld the concept of caste as a dominant factor in </w:t>
      </w:r>
      <w:r w:rsidR="00341D33" w:rsidRPr="0073250D">
        <w:rPr>
          <w:rFonts w:ascii="Garamond" w:eastAsia="EB Garamond" w:hAnsi="Garamond" w:cs="EB Garamond"/>
          <w:sz w:val="24"/>
          <w:szCs w:val="24"/>
        </w:rPr>
        <w:t>determining backwardness</w:t>
      </w:r>
      <w:r w:rsidRPr="0073250D">
        <w:rPr>
          <w:rFonts w:ascii="Garamond" w:eastAsia="EB Garamond" w:hAnsi="Garamond" w:cs="EB Garamond"/>
          <w:sz w:val="24"/>
          <w:szCs w:val="24"/>
        </w:rPr>
        <w:t>. It ruled that reservations should generally not exceed 50% of available seats or positions, although exceptions could be made in extraordinary circumstances. The Court endorsed the application of the creamy layer principle to OBCs to ensure that reservations benefit the genuinely disadvantaged. Reservations were allowed only at the entry level of public employment, with no provision for quotas in promotions. The Court also struck down the 10% reservation for economically weaker sections (EWS) introduced by the government, citing its breach of the 50% ceiling and its deviation from caste-based criteria.</w:t>
      </w:r>
    </w:p>
    <w:p w14:paraId="0000003C" w14:textId="62951BCF"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Ashoka Kumar Thakur v. Union of India (2008)</w:t>
      </w:r>
    </w:p>
    <w:p w14:paraId="0000003D" w14:textId="77777777"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highlight w:val="white"/>
        </w:rPr>
        <w:lastRenderedPageBreak/>
        <w:t xml:space="preserve">Ashoka Kumar Thakur v Union of India stands as a seminal case in the landscape of Indian constitutional law. The case thoroughly examined the legitimacy of the 93rd Constitutional Amendment and the reservation policy it sought to enforce. By mandating the exclusion of the creamy layer, the Court ensured that reservations benefit only those who are truly disadvantaged, thereby upholding the principle of social justice without sacrificing the merit-based ethos of educational institutions. It </w:t>
      </w:r>
      <w:r w:rsidRPr="0073250D">
        <w:rPr>
          <w:rFonts w:ascii="Garamond" w:eastAsia="EB Garamond" w:hAnsi="Garamond" w:cs="EB Garamond"/>
          <w:sz w:val="24"/>
          <w:szCs w:val="24"/>
        </w:rPr>
        <w:t>affirmed validity of 27% OBC reservation in education and clarified some reservation jurisprudence.</w:t>
      </w:r>
    </w:p>
    <w:p w14:paraId="0000003E" w14:textId="34F2031D" w:rsidR="00487EAB" w:rsidRPr="00E92C1D" w:rsidRDefault="00000000" w:rsidP="00E92C1D">
      <w:pPr>
        <w:pStyle w:val="ListParagraph"/>
        <w:numPr>
          <w:ilvl w:val="0"/>
          <w:numId w:val="4"/>
        </w:numPr>
        <w:spacing w:after="240" w:line="360" w:lineRule="auto"/>
        <w:jc w:val="both"/>
        <w:rPr>
          <w:rFonts w:ascii="Garamond" w:eastAsia="EB Garamond" w:hAnsi="Garamond" w:cs="EB Garamond"/>
          <w:color w:val="202122"/>
          <w:sz w:val="24"/>
          <w:szCs w:val="24"/>
        </w:rPr>
      </w:pPr>
      <w:r w:rsidRPr="00E92C1D">
        <w:rPr>
          <w:rFonts w:ascii="Garamond" w:eastAsia="EB Garamond" w:hAnsi="Garamond" w:cs="EB Garamond"/>
          <w:sz w:val="24"/>
          <w:szCs w:val="24"/>
        </w:rPr>
        <w:t xml:space="preserve">Janhit Abhiyan v. Union of India (2022) </w:t>
      </w:r>
    </w:p>
    <w:p w14:paraId="0000003F" w14:textId="3E1666B3" w:rsidR="00487EAB" w:rsidRPr="0073250D" w:rsidRDefault="00000000" w:rsidP="0073250D">
      <w:pPr>
        <w:spacing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highlight w:val="white"/>
        </w:rPr>
        <w:t xml:space="preserve">Janhit Abhiyan, through petitions challenged the 103rd Amendment to the Constitution stating it violated the ‘basic structure of the constitution’. The 103rd Amendment Art. 15 (6) and 16(6) both provisions related to reservation of economic weaker sections in educational institutions and appointment or post to a maximum of 10% respectively. The petition challenged the new 10% EWS quota as well as the exclusion of </w:t>
      </w:r>
      <w:r w:rsidRPr="0073250D">
        <w:rPr>
          <w:rFonts w:ascii="Garamond" w:eastAsia="EB Garamond" w:hAnsi="Garamond" w:cs="EB Garamond"/>
          <w:color w:val="222222"/>
          <w:sz w:val="24"/>
          <w:szCs w:val="24"/>
          <w:highlight w:val="white"/>
        </w:rPr>
        <w:t>SC/ST/OBC from EWS.  The Court delivered a judgement in the ratio of 3:2 upholding the constitutional validity of the amendment. The majority viewed reservation on the economic criteria as an affirmative action and not an exclusionary one as ST/SC/OBC</w:t>
      </w:r>
      <w:r w:rsidR="00341D33">
        <w:rPr>
          <w:rFonts w:ascii="Garamond" w:eastAsia="EB Garamond" w:hAnsi="Garamond" w:cs="EB Garamond"/>
          <w:color w:val="222222"/>
          <w:sz w:val="24"/>
          <w:szCs w:val="24"/>
          <w:highlight w:val="white"/>
        </w:rPr>
        <w:t xml:space="preserve"> </w:t>
      </w:r>
      <w:r w:rsidRPr="0073250D">
        <w:rPr>
          <w:rFonts w:ascii="Garamond" w:eastAsia="EB Garamond" w:hAnsi="Garamond" w:cs="EB Garamond"/>
          <w:color w:val="222222"/>
          <w:sz w:val="24"/>
          <w:szCs w:val="24"/>
          <w:highlight w:val="white"/>
        </w:rPr>
        <w:t xml:space="preserve">as these groups were already afforded special provisions of reservation. On the 10% reservation, it held that the 50% ceiling is not inflexible or inviolable and the ceiling from Indra Sawhney applied only to the ‘backward caste’. It further held that the Parliament has the power to make a new provision for the EWS category. The dissenting opinion viewed the exclusion of the groups to be unconstitutional and violation of the basic structure. </w:t>
      </w:r>
    </w:p>
    <w:p w14:paraId="00000040" w14:textId="0A77210D" w:rsidR="00487EAB" w:rsidRPr="00E92C1D" w:rsidRDefault="00000000" w:rsidP="00E92C1D">
      <w:pPr>
        <w:pStyle w:val="ListParagraph"/>
        <w:numPr>
          <w:ilvl w:val="0"/>
          <w:numId w:val="4"/>
        </w:numPr>
        <w:spacing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 xml:space="preserve">State of Punjab </w:t>
      </w:r>
      <w:r w:rsidR="00341D33" w:rsidRPr="00E92C1D">
        <w:rPr>
          <w:rFonts w:ascii="Garamond" w:eastAsia="EB Garamond" w:hAnsi="Garamond" w:cs="EB Garamond"/>
          <w:sz w:val="24"/>
          <w:szCs w:val="24"/>
        </w:rPr>
        <w:t>v</w:t>
      </w:r>
      <w:r w:rsidRPr="00E92C1D">
        <w:rPr>
          <w:rFonts w:ascii="Garamond" w:eastAsia="EB Garamond" w:hAnsi="Garamond" w:cs="EB Garamond"/>
          <w:sz w:val="24"/>
          <w:szCs w:val="24"/>
        </w:rPr>
        <w:t>. Davinder Singh (2024)</w:t>
      </w:r>
    </w:p>
    <w:p w14:paraId="00000041" w14:textId="77777777" w:rsidR="00487EAB" w:rsidRPr="0073250D" w:rsidRDefault="00000000" w:rsidP="0073250D">
      <w:pPr>
        <w:shd w:val="clear" w:color="auto" w:fill="FFFFFF"/>
        <w:spacing w:after="38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In the landmark judgement of </w:t>
      </w:r>
      <w:r w:rsidRPr="0073250D">
        <w:rPr>
          <w:rFonts w:ascii="Garamond" w:eastAsia="EB Garamond" w:hAnsi="Garamond" w:cs="EB Garamond"/>
          <w:i/>
          <w:iCs/>
          <w:sz w:val="24"/>
          <w:szCs w:val="24"/>
        </w:rPr>
        <w:t>E.V. Chinnaiah v. State of Andhra Pradesh</w:t>
      </w:r>
      <w:r w:rsidRPr="0073250D">
        <w:rPr>
          <w:rFonts w:ascii="Garamond" w:eastAsia="EB Garamond" w:hAnsi="Garamond" w:cs="EB Garamond"/>
          <w:sz w:val="24"/>
          <w:szCs w:val="24"/>
        </w:rPr>
        <w:t xml:space="preserve"> (2004), the Supreme Court ruled that the sub-classification of Scheduled Castes (SCs) for the purpose of reservation was unconstitutional. The Court held that the castes listed under Article 341(1) of the Constitution, which identifies the SCs, formed a homogeneous group and could not be subdivided further for reservations. However, in State of Punjab v. Davinder Singh, the Supreme Court revisited this issue. The Court was tasked with determining whether states could establish separate quotas for more backward sub-groups within the SC category. The case was referred to a seven-judge bench due to its constitutional </w:t>
      </w:r>
      <w:r w:rsidRPr="0073250D">
        <w:rPr>
          <w:rFonts w:ascii="Garamond" w:eastAsia="EB Garamond" w:hAnsi="Garamond" w:cs="EB Garamond"/>
          <w:sz w:val="24"/>
          <w:szCs w:val="24"/>
        </w:rPr>
        <w:lastRenderedPageBreak/>
        <w:t>significance and the need to clarify whether states could create such sub-quotas within the larger SC category without violating the Constitution’s equality principles.</w:t>
      </w:r>
    </w:p>
    <w:p w14:paraId="00000042" w14:textId="77777777" w:rsidR="00487EAB" w:rsidRPr="004B2D32" w:rsidRDefault="00000000" w:rsidP="00E92C1D">
      <w:pPr>
        <w:spacing w:before="240" w:after="240" w:line="360" w:lineRule="auto"/>
        <w:jc w:val="both"/>
        <w:rPr>
          <w:rFonts w:ascii="Garamond" w:eastAsia="EB Garamond" w:hAnsi="Garamond" w:cs="EB Garamond"/>
          <w:b/>
          <w:bCs/>
          <w:sz w:val="24"/>
          <w:szCs w:val="24"/>
        </w:rPr>
      </w:pPr>
      <w:r w:rsidRPr="004B2D32">
        <w:rPr>
          <w:rFonts w:ascii="Garamond" w:eastAsia="EB Garamond" w:hAnsi="Garamond" w:cs="EB Garamond"/>
          <w:b/>
          <w:bCs/>
          <w:sz w:val="24"/>
          <w:szCs w:val="24"/>
        </w:rPr>
        <w:t>Freedom of Speech and Expression</w:t>
      </w:r>
    </w:p>
    <w:p w14:paraId="00000043" w14:textId="6B2F8070"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Romesh Thappar v. State of Madras (1950)</w:t>
      </w:r>
    </w:p>
    <w:p w14:paraId="00000044" w14:textId="6AAA8AB1"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One of the landmark </w:t>
      </w:r>
      <w:r w:rsidR="00341D33" w:rsidRPr="0073250D">
        <w:rPr>
          <w:rFonts w:ascii="Garamond" w:eastAsia="EB Garamond" w:hAnsi="Garamond" w:cs="EB Garamond"/>
          <w:sz w:val="24"/>
          <w:szCs w:val="24"/>
        </w:rPr>
        <w:t>rulings</w:t>
      </w:r>
      <w:r w:rsidRPr="0073250D">
        <w:rPr>
          <w:rFonts w:ascii="Garamond" w:eastAsia="EB Garamond" w:hAnsi="Garamond" w:cs="EB Garamond"/>
          <w:sz w:val="24"/>
          <w:szCs w:val="24"/>
        </w:rPr>
        <w:t xml:space="preserve"> on freedom of speech and expression, this case challenged the Madras Maintenance of Public Order Act, 1949 which banned the publication of a periodical called "Cross Roads" to maintain public safety and order. The petitioner, Mr. Romesh Thappar, approached the Supreme Court arguing that the ban violated the rights under Art. 19 of the Indian Constitution. The Court struck down the ban, ruling that freedom of speech and the press are foundational to democracy and cannot be arbitrarily restricted. The Court held that "public order" cannot be invoked as a blanket restriction on speech without demonstrating actual or imminent danger. However, it also prompted the First Amendment to the Constitution, which clarified that "public order" could be a reasonable restriction on free speech.</w:t>
      </w:r>
    </w:p>
    <w:p w14:paraId="00000045" w14:textId="7B0533E5"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Hamdard Dawakhana v</w:t>
      </w:r>
      <w:r w:rsidR="00341D33" w:rsidRPr="00E92C1D">
        <w:rPr>
          <w:rFonts w:ascii="Garamond" w:eastAsia="EB Garamond" w:hAnsi="Garamond" w:cs="EB Garamond"/>
          <w:sz w:val="24"/>
          <w:szCs w:val="24"/>
        </w:rPr>
        <w:t xml:space="preserve">. </w:t>
      </w:r>
      <w:r w:rsidRPr="00E92C1D">
        <w:rPr>
          <w:rFonts w:ascii="Garamond" w:eastAsia="EB Garamond" w:hAnsi="Garamond" w:cs="EB Garamond"/>
          <w:sz w:val="24"/>
          <w:szCs w:val="24"/>
        </w:rPr>
        <w:t>Union of India (1960)</w:t>
      </w:r>
    </w:p>
    <w:p w14:paraId="00000046" w14:textId="77777777"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Hamdard Dawakhana, a manufacturer of Unani medicines, challenged the Drugs and Magic Remedies (Objectionable Advertisements) Act, 1954, which prohibited advertisements of drugs claiming magical or curative properties. The Supreme Court held that commercial advertisements do not enjoy full protection under Article 19(1)(a), distinguishing between speech for propagation of ideas and commercial promotion. The Court ruled that while advertisements contain speech elements, their dominant purpose is trade, falling under Article 19(1)(g) instead. Additionally, the Court struck down the delegation of power to the Centre as unconstitutional for being "</w:t>
      </w:r>
      <w:proofErr w:type="spellStart"/>
      <w:r w:rsidRPr="0073250D">
        <w:rPr>
          <w:rFonts w:ascii="Garamond" w:eastAsia="EB Garamond" w:hAnsi="Garamond" w:cs="EB Garamond"/>
          <w:sz w:val="24"/>
          <w:szCs w:val="24"/>
        </w:rPr>
        <w:t>uncanalised</w:t>
      </w:r>
      <w:proofErr w:type="spellEnd"/>
      <w:r w:rsidRPr="0073250D">
        <w:rPr>
          <w:rFonts w:ascii="Garamond" w:eastAsia="EB Garamond" w:hAnsi="Garamond" w:cs="EB Garamond"/>
          <w:sz w:val="24"/>
          <w:szCs w:val="24"/>
        </w:rPr>
        <w:t xml:space="preserve">" and "uncontrolled." This case distinguished between ideological speech and commercial expression and established that vague delegations of power are unconstitutional. </w:t>
      </w:r>
    </w:p>
    <w:p w14:paraId="00000047" w14:textId="4443AC32"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K.A. Abbas v</w:t>
      </w:r>
      <w:r w:rsidR="00341D33" w:rsidRPr="00E92C1D">
        <w:rPr>
          <w:rFonts w:ascii="Garamond" w:eastAsia="EB Garamond" w:hAnsi="Garamond" w:cs="EB Garamond"/>
          <w:sz w:val="24"/>
          <w:szCs w:val="24"/>
        </w:rPr>
        <w:t xml:space="preserve">. </w:t>
      </w:r>
      <w:r w:rsidRPr="00E92C1D">
        <w:rPr>
          <w:rFonts w:ascii="Garamond" w:eastAsia="EB Garamond" w:hAnsi="Garamond" w:cs="EB Garamond"/>
          <w:sz w:val="24"/>
          <w:szCs w:val="24"/>
        </w:rPr>
        <w:t>Union of India (1971)</w:t>
      </w:r>
    </w:p>
    <w:p w14:paraId="00000048" w14:textId="77777777"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K.A. Abbas, a renowned filmmaker, directed a short film titled "A Tale of Four Cities" (Chaar Sheher Ek Kahani) that depicted realities in Bombay, Calcutta, Delhi, and Madras, including scenes from red-light districts. The Censor Board granted an 'A' certificate (adults only) instead of the requested 'U' </w:t>
      </w:r>
      <w:r w:rsidRPr="0073250D">
        <w:rPr>
          <w:rFonts w:ascii="Garamond" w:eastAsia="EB Garamond" w:hAnsi="Garamond" w:cs="EB Garamond"/>
          <w:sz w:val="24"/>
          <w:szCs w:val="24"/>
        </w:rPr>
        <w:lastRenderedPageBreak/>
        <w:t>certificate (unrestricted) and demanded the removal of prostitution scenes. Abbas challenged pre-censorship as unconstitutional, but the Supreme Court upheld the constitutionality of pre-censorship under the Cinematograph Act as a reasonable restriction under Article 19(2) for protecting public morality and order. The Court held that the distinction between prior and post-censorship is irrelevant for constitutionality and recommended that guidelines should better distinguish artistic expression from non-artistic obscenity to prevent arbitrariness.</w:t>
      </w:r>
    </w:p>
    <w:p w14:paraId="00000049" w14:textId="709D69C6"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Tata Press Limited v</w:t>
      </w:r>
      <w:r w:rsidR="00341D33" w:rsidRPr="00E92C1D">
        <w:rPr>
          <w:rFonts w:ascii="Garamond" w:eastAsia="EB Garamond" w:hAnsi="Garamond" w:cs="EB Garamond"/>
          <w:sz w:val="24"/>
          <w:szCs w:val="24"/>
        </w:rPr>
        <w:t xml:space="preserve">. </w:t>
      </w:r>
      <w:r w:rsidRPr="00E92C1D">
        <w:rPr>
          <w:rFonts w:ascii="Garamond" w:eastAsia="EB Garamond" w:hAnsi="Garamond" w:cs="EB Garamond"/>
          <w:sz w:val="24"/>
          <w:szCs w:val="24"/>
        </w:rPr>
        <w:t>MTNL (1995)</w:t>
      </w:r>
    </w:p>
    <w:p w14:paraId="5E279231" w14:textId="77777777" w:rsidR="00A46E41"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Tata Press published "Tata Press Yellow Pages," a buyers' guide with advertisements classified by trade and profession, which MTNL sought to prevent as a violation of monopoly rights over telephone subscriber lists. The Supreme Court ruled that commercial speech (advertisements) IS protected under Article 19(1)(a), effectively reversing the position taken in Hamdard Dawakhana. The Court held that Yellow Pages constituted a buyers' guide and trade directory, not a prohibited telephone subscriber list, and rejected MTNL's monopoly over publishing commercial advertisements. This landmark ruling established that commercial advertisements constitute "speech" worthy of constitutional protection and represented a major shift in freedom of expression jurisprudence by expanding protection to commercial speech.</w:t>
      </w:r>
    </w:p>
    <w:p w14:paraId="38970584" w14:textId="12C94CD6" w:rsidR="00A46E41" w:rsidRPr="00E92C1D" w:rsidRDefault="00A46E41"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Shreya Singhal v. Union of India (2015)</w:t>
      </w:r>
    </w:p>
    <w:p w14:paraId="2F794501" w14:textId="77777777" w:rsidR="00CF76B3" w:rsidRDefault="00A46E41" w:rsidP="0073250D">
      <w:pPr>
        <w:spacing w:before="240" w:after="240" w:line="360" w:lineRule="auto"/>
        <w:jc w:val="both"/>
        <w:rPr>
          <w:rFonts w:ascii="Garamond" w:eastAsia="EB Garamond" w:hAnsi="Garamond" w:cs="EB Garamond"/>
          <w:sz w:val="24"/>
          <w:szCs w:val="24"/>
        </w:rPr>
      </w:pPr>
      <w:r>
        <w:rPr>
          <w:rFonts w:ascii="Garamond" w:eastAsia="EB Garamond" w:hAnsi="Garamond" w:cs="EB Garamond"/>
          <w:sz w:val="24"/>
          <w:szCs w:val="24"/>
        </w:rPr>
        <w:t>Can we be arrested for the whatever we express through online platforms? Two women were arrested for their allegedly offensive post on the shutdown of Mumbai city after the death of a political leader under Sec. 66A of the IT Act</w:t>
      </w:r>
      <w:r w:rsidR="004C4A98">
        <w:rPr>
          <w:rFonts w:ascii="Garamond" w:eastAsia="EB Garamond" w:hAnsi="Garamond" w:cs="EB Garamond"/>
          <w:sz w:val="24"/>
          <w:szCs w:val="24"/>
        </w:rPr>
        <w:t xml:space="preserve">. The constitutionality of this provision was challenged on the ground that it violates freedom of speech and expression. Evaluating the provision, the Court observed that it is vague as it leaves many terms open-ended and undefined and has the capability to put a chilling effect on the freedom of speech and expression guaranteed under Art. 19 (1) (a) of the Constitution.  </w:t>
      </w:r>
    </w:p>
    <w:p w14:paraId="5A58F7F3" w14:textId="1765E64B" w:rsidR="00CF76B3" w:rsidRPr="00E92C1D" w:rsidRDefault="00CF76B3" w:rsidP="00E92C1D">
      <w:pPr>
        <w:pStyle w:val="ListParagraph"/>
        <w:numPr>
          <w:ilvl w:val="0"/>
          <w:numId w:val="4"/>
        </w:numPr>
        <w:spacing w:before="28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 xml:space="preserve">Anuradha Bhasin v. Union of India (2020) </w:t>
      </w:r>
    </w:p>
    <w:p w14:paraId="0280158C" w14:textId="7D39E499" w:rsidR="00A46E41" w:rsidRPr="0073250D" w:rsidRDefault="00CF76B3" w:rsidP="000F4294">
      <w:pPr>
        <w:spacing w:before="280" w:line="360" w:lineRule="auto"/>
        <w:jc w:val="both"/>
        <w:rPr>
          <w:rFonts w:ascii="Garamond" w:eastAsia="EB Garamond" w:hAnsi="Garamond" w:cs="EB Garamond"/>
          <w:sz w:val="24"/>
          <w:szCs w:val="24"/>
        </w:rPr>
      </w:pPr>
      <w:r>
        <w:rPr>
          <w:rFonts w:ascii="Garamond" w:eastAsia="EB Garamond" w:hAnsi="Garamond" w:cs="EB Garamond"/>
          <w:sz w:val="24"/>
          <w:szCs w:val="24"/>
        </w:rPr>
        <w:t>Can the government shutdown the internet? This is a crucial case that deals with shutdown of internet</w:t>
      </w:r>
      <w:r w:rsidR="00FF26F1">
        <w:rPr>
          <w:rFonts w:ascii="Garamond" w:eastAsia="EB Garamond" w:hAnsi="Garamond" w:cs="EB Garamond"/>
          <w:sz w:val="24"/>
          <w:szCs w:val="24"/>
        </w:rPr>
        <w:t xml:space="preserve"> in Jammu and Kashmir on August 4, 2019 on the ground of public order. This was specifically during the time period when the govt. abrogated Art. 370 that granted autonomy to the state. The petitioner challenged the legality of the internet shutdown</w:t>
      </w:r>
      <w:r w:rsidR="000F4294">
        <w:rPr>
          <w:rFonts w:ascii="Garamond" w:eastAsia="EB Garamond" w:hAnsi="Garamond" w:cs="EB Garamond"/>
          <w:sz w:val="24"/>
          <w:szCs w:val="24"/>
        </w:rPr>
        <w:t xml:space="preserve">, arguing that such restrictions violate the freedom of </w:t>
      </w:r>
      <w:r w:rsidR="000F4294">
        <w:rPr>
          <w:rFonts w:ascii="Garamond" w:eastAsia="EB Garamond" w:hAnsi="Garamond" w:cs="EB Garamond"/>
          <w:sz w:val="24"/>
          <w:szCs w:val="24"/>
        </w:rPr>
        <w:lastRenderedPageBreak/>
        <w:t xml:space="preserve">speech and expression. </w:t>
      </w:r>
      <w:r w:rsidRPr="0073250D">
        <w:rPr>
          <w:rFonts w:ascii="Garamond" w:eastAsia="EB Garamond" w:hAnsi="Garamond" w:cs="EB Garamond"/>
          <w:sz w:val="24"/>
          <w:szCs w:val="24"/>
        </w:rPr>
        <w:t>The Supreme Court’s ruling</w:t>
      </w:r>
      <w:r w:rsidR="000F4294">
        <w:rPr>
          <w:rFonts w:ascii="Garamond" w:eastAsia="EB Garamond" w:hAnsi="Garamond" w:cs="EB Garamond"/>
          <w:sz w:val="24"/>
          <w:szCs w:val="24"/>
        </w:rPr>
        <w:t xml:space="preserve"> in this case </w:t>
      </w:r>
      <w:r w:rsidRPr="0073250D">
        <w:rPr>
          <w:rFonts w:ascii="Garamond" w:eastAsia="EB Garamond" w:hAnsi="Garamond" w:cs="EB Garamond"/>
          <w:sz w:val="24"/>
          <w:szCs w:val="24"/>
        </w:rPr>
        <w:t xml:space="preserve">represents a crucial step in protecting the constitutional right to Internet access in India. </w:t>
      </w:r>
      <w:r w:rsidR="000F4294">
        <w:rPr>
          <w:rFonts w:ascii="Garamond" w:eastAsia="EB Garamond" w:hAnsi="Garamond" w:cs="EB Garamond"/>
          <w:sz w:val="24"/>
          <w:szCs w:val="24"/>
        </w:rPr>
        <w:t xml:space="preserve">Although the Court did not lift the internet shut down, it laid down guidelines on the imposition on internet shutdown. Striking a balance between freedom of speech and security concerns, it established </w:t>
      </w:r>
      <w:r w:rsidR="000F4294" w:rsidRPr="0073250D">
        <w:rPr>
          <w:rFonts w:ascii="Garamond" w:eastAsia="EB Garamond" w:hAnsi="Garamond" w:cs="EB Garamond"/>
          <w:sz w:val="24"/>
          <w:szCs w:val="24"/>
        </w:rPr>
        <w:t>that any restriction on digital communication must be temporary, necessary, and proportionate, the judgement reinforces the fundamental values of transparency, accountability, and the right to free expression</w:t>
      </w:r>
      <w:r w:rsidR="000F4294">
        <w:rPr>
          <w:rFonts w:ascii="Garamond" w:eastAsia="EB Garamond" w:hAnsi="Garamond" w:cs="EB Garamond"/>
          <w:sz w:val="24"/>
          <w:szCs w:val="24"/>
        </w:rPr>
        <w:t>.</w:t>
      </w:r>
    </w:p>
    <w:p w14:paraId="0000004B" w14:textId="460C6065" w:rsidR="00487EAB" w:rsidRPr="004B2D32" w:rsidRDefault="00000000" w:rsidP="00E92C1D">
      <w:pPr>
        <w:spacing w:before="240" w:after="240" w:line="360" w:lineRule="auto"/>
        <w:jc w:val="both"/>
        <w:rPr>
          <w:rFonts w:ascii="Garamond" w:eastAsia="EB Garamond" w:hAnsi="Garamond" w:cs="EB Garamond"/>
          <w:b/>
          <w:bCs/>
          <w:sz w:val="24"/>
          <w:szCs w:val="24"/>
        </w:rPr>
      </w:pPr>
      <w:r w:rsidRPr="004B2D32">
        <w:rPr>
          <w:rFonts w:ascii="Garamond" w:eastAsia="EB Garamond" w:hAnsi="Garamond" w:cs="EB Garamond"/>
          <w:b/>
          <w:bCs/>
          <w:sz w:val="24"/>
          <w:szCs w:val="24"/>
        </w:rPr>
        <w:t xml:space="preserve">Freedom of Religion and Reasonable </w:t>
      </w:r>
      <w:r w:rsidR="004B2D32">
        <w:rPr>
          <w:rFonts w:ascii="Garamond" w:eastAsia="EB Garamond" w:hAnsi="Garamond" w:cs="EB Garamond"/>
          <w:b/>
          <w:bCs/>
          <w:sz w:val="24"/>
          <w:szCs w:val="24"/>
        </w:rPr>
        <w:t>R</w:t>
      </w:r>
      <w:r w:rsidRPr="004B2D32">
        <w:rPr>
          <w:rFonts w:ascii="Garamond" w:eastAsia="EB Garamond" w:hAnsi="Garamond" w:cs="EB Garamond"/>
          <w:b/>
          <w:bCs/>
          <w:sz w:val="24"/>
          <w:szCs w:val="24"/>
        </w:rPr>
        <w:t>estrictions</w:t>
      </w:r>
    </w:p>
    <w:p w14:paraId="0000004C" w14:textId="09F0CDD6"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State of Bombay v. Narasu Appa Mali (1951)</w:t>
      </w:r>
    </w:p>
    <w:p w14:paraId="0000004D" w14:textId="77777777"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A personal law provision made certain religious ceremonies and practices dependent on caste status, effectively enforcing caste-based discrimination. Narasu Appa Mali challenged this provision as violating Article 15 (prohibition of discrimination on grounds of caste). The Supreme Court held that personal laws are NOT exempt from fundamental rights protections. However, the Court distinguished between: (1) Direct Discrimination: Laws explicitly based on caste are unconstitutional under Article 15; (2) Indirect Application: Personal laws that indirectly result in caste-based discrimination but are not explicitly framed on caste may be valid; (3) Protected Sphere: Religious practices genuinely integral to religion are protected under Articles 25-26, even if they have some caste dimensions, but cannot be used as a shield for pure caste discrimination. This judgment established that fundamental rights are supreme and personal laws cannot be invoked to circumvent them. However, it also recognized the legitimate sphere of personal law and religious freedom. The case initiated the long jurisprudential struggle to balance personal law autonomy with constitutional equality principles—a tension that persists in contemporary Indian constitutional law.</w:t>
      </w:r>
    </w:p>
    <w:p w14:paraId="0000004E" w14:textId="1337CDBF"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Stanislaus v. State of Madhya Pradesh (1977)</w:t>
      </w:r>
    </w:p>
    <w:p w14:paraId="0000004F" w14:textId="77777777"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A Christian organization was charged with converting people to Christianity by force, fraud, or allurement in violation of state anti-conversion laws. The Supreme Court held that while freedom of religion is guaranteed, the right to propagate religion does not include the right to convert others through force, fraud, or allurement. The Court distinguished between freedom to believe and freedom to convert, permitting state regulation of the latter. Balanced religious freedom with state authority to prevent coercive conversions. This judgment defined the limits of propagation rights and established that fundamental rights, while broad, are not absolute.</w:t>
      </w:r>
    </w:p>
    <w:p w14:paraId="00000050" w14:textId="482A2DE1"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lastRenderedPageBreak/>
        <w:t>Bijoe Emmanuel v. State of Kerala (1986)</w:t>
      </w:r>
    </w:p>
    <w:p w14:paraId="00000051" w14:textId="77777777"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Bijoe Emmanuel and other children, members of the Jehovah's Witnesses sect, refused to sing the national anthem based on their religious belief that singing anything except hymns related to their faith violates their religious convictions. The school expelled them for violating the compulsory anthem rule. The Supreme Court held that: (1) Conscience is Protected: Freedom of conscience under Article 25 protects the right to refuse to participate in activities violating sincere religious beliefs; (2) Compulsion Cannot Override Conscience: The State cannot compel participation in ceremonies that violate fundamental religious convictions; (3) Respect for Belief: Even if the majority finds such beliefs unusual, the Constitution protects minority beliefs; (4) Proportionality: Schools can require respect for national symbols but cannot compel active participation when it violates sincere conscience; (5) Distinction Between Compulsion and Respect: Students can be required to respect the anthem without being forced to sing it. This landmark judgment protected freedom of conscience as distinct from freedom of religion. It established that the State cannot compel participation in nationalist ceremonies when they violate sincere beliefs. The judgment became important for religious minorities and established that constitutional pluralism requires respect for minority conscience, not enforced conformity to majority practices.</w:t>
      </w:r>
    </w:p>
    <w:p w14:paraId="00000052" w14:textId="77777777" w:rsidR="00487EAB" w:rsidRPr="004B2D32" w:rsidRDefault="00000000" w:rsidP="00E92C1D">
      <w:pPr>
        <w:spacing w:before="240" w:after="240" w:line="360" w:lineRule="auto"/>
        <w:jc w:val="both"/>
        <w:rPr>
          <w:rFonts w:ascii="Garamond" w:eastAsia="EB Garamond" w:hAnsi="Garamond" w:cs="EB Garamond"/>
          <w:b/>
          <w:bCs/>
          <w:sz w:val="24"/>
          <w:szCs w:val="24"/>
        </w:rPr>
      </w:pPr>
      <w:r w:rsidRPr="004B2D32">
        <w:rPr>
          <w:rFonts w:ascii="Garamond" w:eastAsia="EB Garamond" w:hAnsi="Garamond" w:cs="EB Garamond"/>
          <w:b/>
          <w:bCs/>
          <w:sz w:val="24"/>
          <w:szCs w:val="24"/>
        </w:rPr>
        <w:t>Electoral Reforms</w:t>
      </w:r>
    </w:p>
    <w:p w14:paraId="00000053" w14:textId="7302FDAD"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 xml:space="preserve">Javed v. State of Haryana (2003) </w:t>
      </w:r>
    </w:p>
    <w:p w14:paraId="00000054" w14:textId="41F2B588"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With an objective to control population growth, the State of Haryana came up with the</w:t>
      </w:r>
      <w:r w:rsidR="004B2D32">
        <w:rPr>
          <w:rFonts w:ascii="Garamond" w:eastAsia="EB Garamond" w:hAnsi="Garamond" w:cs="EB Garamond"/>
          <w:sz w:val="24"/>
          <w:szCs w:val="24"/>
        </w:rPr>
        <w:t xml:space="preserve"> </w:t>
      </w:r>
      <w:r w:rsidRPr="0073250D">
        <w:rPr>
          <w:rFonts w:ascii="Garamond" w:eastAsia="EB Garamond" w:hAnsi="Garamond" w:cs="EB Garamond"/>
          <w:sz w:val="24"/>
          <w:szCs w:val="24"/>
          <w:highlight w:val="white"/>
        </w:rPr>
        <w:t xml:space="preserve">Haryana Panchayati Raj Act, 1994 that disqualified </w:t>
      </w:r>
      <w:r w:rsidR="004B2D32" w:rsidRPr="0073250D">
        <w:rPr>
          <w:rFonts w:ascii="Garamond" w:eastAsia="EB Garamond" w:hAnsi="Garamond" w:cs="EB Garamond"/>
          <w:sz w:val="24"/>
          <w:szCs w:val="24"/>
          <w:highlight w:val="white"/>
        </w:rPr>
        <w:t>members individuals</w:t>
      </w:r>
      <w:r w:rsidRPr="0073250D">
        <w:rPr>
          <w:rFonts w:ascii="Garamond" w:eastAsia="EB Garamond" w:hAnsi="Garamond" w:cs="EB Garamond"/>
          <w:sz w:val="24"/>
          <w:szCs w:val="24"/>
          <w:highlight w:val="white"/>
        </w:rPr>
        <w:t xml:space="preserve"> with more than two children from contesting elections to Panchayati Raj institutions. This measure was contested before the Supreme Court arguing that it violated the fundamental rights guaranteed under Art. 14 (right to equality); Art. 21 (Rights to life and personal liberty); and Art. 25 (freedom of religion).</w:t>
      </w:r>
      <w:r w:rsidRPr="0073250D">
        <w:rPr>
          <w:rFonts w:ascii="Garamond" w:eastAsia="EB Garamond" w:hAnsi="Garamond" w:cs="EB Garamond"/>
          <w:sz w:val="24"/>
          <w:szCs w:val="24"/>
        </w:rPr>
        <w:t xml:space="preserve"> The Court held that the disqualification of candidates from contesting elections based on the number of children they had did not affect their fundamental rights, as the policy formulated keeping in mind the national interest.</w:t>
      </w:r>
    </w:p>
    <w:p w14:paraId="00000055" w14:textId="2871029F"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 xml:space="preserve">Anoop Baranwal V. Union of India and </w:t>
      </w:r>
      <w:r w:rsidR="004B2D32" w:rsidRPr="00E92C1D">
        <w:rPr>
          <w:rFonts w:ascii="Garamond" w:eastAsia="EB Garamond" w:hAnsi="Garamond" w:cs="EB Garamond"/>
          <w:sz w:val="24"/>
          <w:szCs w:val="24"/>
        </w:rPr>
        <w:t>O</w:t>
      </w:r>
      <w:r w:rsidRPr="00E92C1D">
        <w:rPr>
          <w:rFonts w:ascii="Garamond" w:eastAsia="EB Garamond" w:hAnsi="Garamond" w:cs="EB Garamond"/>
          <w:sz w:val="24"/>
          <w:szCs w:val="24"/>
        </w:rPr>
        <w:t>rs</w:t>
      </w:r>
      <w:r w:rsidR="004B2D32" w:rsidRPr="00E92C1D">
        <w:rPr>
          <w:rFonts w:ascii="Garamond" w:eastAsia="EB Garamond" w:hAnsi="Garamond" w:cs="EB Garamond"/>
          <w:sz w:val="24"/>
          <w:szCs w:val="24"/>
        </w:rPr>
        <w:t xml:space="preserve">. </w:t>
      </w:r>
      <w:r w:rsidRPr="00E92C1D">
        <w:rPr>
          <w:rFonts w:ascii="Garamond" w:eastAsia="EB Garamond" w:hAnsi="Garamond" w:cs="EB Garamond"/>
          <w:sz w:val="24"/>
          <w:szCs w:val="24"/>
        </w:rPr>
        <w:t>(2023)</w:t>
      </w:r>
    </w:p>
    <w:p w14:paraId="00000056" w14:textId="77777777"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In this landmark judgement, the petitioner questioned the appointment process of the Chief Election Commissioner and Election Commissioners (EC) that is done by the President on the </w:t>
      </w:r>
      <w:r w:rsidRPr="0073250D">
        <w:rPr>
          <w:rFonts w:ascii="Garamond" w:eastAsia="EB Garamond" w:hAnsi="Garamond" w:cs="EB Garamond"/>
          <w:sz w:val="24"/>
          <w:szCs w:val="24"/>
        </w:rPr>
        <w:lastRenderedPageBreak/>
        <w:t>recommendation of the Prime Minister. It argued that such appointments compromised the independence and impartiality of the Election Commission. The Apex Court held that the Chief Election Commissioner and Election Commissioners (EC) would be selected by a panel consisting of the Prime Minister, the Lok Sabha Leader of Opposition, and the Chief Justice of India (CJI), till a law is made by Parliament. In the absence of the leader of opposition in the Lok Sabha, then leader of the single largest opposition party will be on the committee to appoint the Chief Election Commissioner and ECs.</w:t>
      </w:r>
    </w:p>
    <w:p w14:paraId="00000057" w14:textId="52AA8A4D"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 xml:space="preserve">Sita Soren V. UOI (2024) </w:t>
      </w:r>
    </w:p>
    <w:p w14:paraId="00000058" w14:textId="77777777" w:rsidR="00487EAB" w:rsidRPr="0073250D" w:rsidRDefault="00000000" w:rsidP="0073250D">
      <w:pPr>
        <w:spacing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One of the most important judgments that addresses the issue of corruption within the legislative framework. In this case, Sita Soren was accused of bribery from an independent candidate although he did not vote for him in the ballot. Two important issues were for consideration before the Court, first on the offence of bribery and second on the immunity privileges of the legislator who commits the offence of bribery. SC observed that bribery is not rendered immune under Article 105(2) and the corresponding provision of Article 194 of the Constitution because a member engaging in bribery commits a crime which is not essential to the casting of the vote or the ability to decide on how the vote should be cast.  The same principle applies to bribery in connection with a speech in the House or a Committee. The offence of bribery is agnostic to the performance of the agreed action and crystallizes on the exchange of illegal gratification. It does not matter whether the vote is cast in the agreed direction or if the vote is cast at all. SC finally said that the offence of bribery is complete at the point in time when the legislator accepts the bribe. </w:t>
      </w:r>
    </w:p>
    <w:p w14:paraId="00000059" w14:textId="77777777" w:rsidR="00487EAB" w:rsidRPr="004B2D32" w:rsidRDefault="00000000" w:rsidP="00E92C1D">
      <w:pPr>
        <w:spacing w:before="240" w:after="240" w:line="360" w:lineRule="auto"/>
        <w:jc w:val="both"/>
        <w:rPr>
          <w:rFonts w:ascii="Garamond" w:eastAsia="EB Garamond" w:hAnsi="Garamond" w:cs="EB Garamond"/>
          <w:b/>
          <w:bCs/>
          <w:sz w:val="24"/>
          <w:szCs w:val="24"/>
        </w:rPr>
      </w:pPr>
      <w:r w:rsidRPr="004B2D32">
        <w:rPr>
          <w:rFonts w:ascii="Garamond" w:eastAsia="EB Garamond" w:hAnsi="Garamond" w:cs="EB Garamond"/>
          <w:b/>
          <w:bCs/>
          <w:sz w:val="24"/>
          <w:szCs w:val="24"/>
        </w:rPr>
        <w:t xml:space="preserve">Gender Equality </w:t>
      </w:r>
    </w:p>
    <w:p w14:paraId="0000005A" w14:textId="6DE87D1D"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Air India v. Nargesh Meerza (1981)</w:t>
      </w:r>
    </w:p>
    <w:p w14:paraId="0000005B" w14:textId="32CEB6B4"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Air India imposed conditions on women air hostesses: (1) compulsory resignation on first pregnancy; (2) compulsory retirement at age 35 or after marriage; (3) different marital status requirements. Male crew members faced no such restrictions. Nargesh Meerza, a senior hostess, challenged these discriminatory conditions.</w:t>
      </w:r>
      <w:r w:rsidR="004B2D32">
        <w:rPr>
          <w:rFonts w:ascii="Garamond" w:eastAsia="EB Garamond" w:hAnsi="Garamond" w:cs="EB Garamond"/>
          <w:sz w:val="24"/>
          <w:szCs w:val="24"/>
        </w:rPr>
        <w:t xml:space="preserve"> </w:t>
      </w:r>
      <w:r w:rsidRPr="0073250D">
        <w:rPr>
          <w:rFonts w:ascii="Garamond" w:eastAsia="EB Garamond" w:hAnsi="Garamond" w:cs="EB Garamond"/>
          <w:sz w:val="24"/>
          <w:szCs w:val="24"/>
        </w:rPr>
        <w:t xml:space="preserve">The Supreme Court struck down the discriminatory conditions as violating Article 14 (equality). However, the judgment had significant limitations: the Court upheld the compulsory retirement at 35, accepting the employer's justification about physical fitness for air service. The Court struck down provisions regarding pregnancy and marriage, recognizing these as </w:t>
      </w:r>
      <w:r w:rsidRPr="0073250D">
        <w:rPr>
          <w:rFonts w:ascii="Garamond" w:eastAsia="EB Garamond" w:hAnsi="Garamond" w:cs="EB Garamond"/>
          <w:sz w:val="24"/>
          <w:szCs w:val="24"/>
        </w:rPr>
        <w:lastRenderedPageBreak/>
        <w:t>based on stereotypes about women rather than genuine occupational requirements. The judgment was controversial because: (1) it upheld some discriminatory practices on occupational grounds; (2) it did not fully recognise gender equality; (3) the ratio suggested that some classifications could justify discrimination.</w:t>
      </w:r>
      <w:r w:rsidR="00341D33">
        <w:rPr>
          <w:rFonts w:ascii="Garamond" w:eastAsia="EB Garamond" w:hAnsi="Garamond" w:cs="EB Garamond"/>
          <w:sz w:val="24"/>
          <w:szCs w:val="24"/>
        </w:rPr>
        <w:t xml:space="preserve"> </w:t>
      </w:r>
      <w:r w:rsidRPr="0073250D">
        <w:rPr>
          <w:rFonts w:ascii="Garamond" w:eastAsia="EB Garamond" w:hAnsi="Garamond" w:cs="EB Garamond"/>
          <w:sz w:val="24"/>
          <w:szCs w:val="24"/>
        </w:rPr>
        <w:t xml:space="preserve">Though limited, this case became important in gender justice jurisprudence by striking down some employment discriminations. It established that even private employers are subject to Article 14 constraints. However, the judgment's weaknesses (upholding age-based discrimination and accepting occupational justifications) led to later, stronger gender equality jurisprudence. Despite its limitations, it marked judicial willingness to examine employment practices for gender bias. </w:t>
      </w:r>
    </w:p>
    <w:p w14:paraId="0000005C" w14:textId="7D16AC8F"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Vishaka v. State of Rajasthan (1997)</w:t>
      </w:r>
    </w:p>
    <w:p w14:paraId="0000005D" w14:textId="4767C335"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The most significant case that brought positive changes in the protection of women in the workplace is</w:t>
      </w:r>
      <w:r w:rsidR="00341D33">
        <w:rPr>
          <w:rFonts w:ascii="Garamond" w:eastAsia="EB Garamond" w:hAnsi="Garamond" w:cs="EB Garamond"/>
          <w:sz w:val="24"/>
          <w:szCs w:val="24"/>
        </w:rPr>
        <w:t xml:space="preserve"> </w:t>
      </w:r>
      <w:r w:rsidRPr="0073250D">
        <w:rPr>
          <w:rFonts w:ascii="Garamond" w:eastAsia="EB Garamond" w:hAnsi="Garamond" w:cs="EB Garamond"/>
          <w:sz w:val="24"/>
          <w:szCs w:val="24"/>
        </w:rPr>
        <w:t xml:space="preserve">Vishaka v. State of Rajasthan. A petition was filed after a horrific and brutal incident of rape of a social worker in a village of </w:t>
      </w:r>
      <w:r w:rsidR="00341D33" w:rsidRPr="0073250D">
        <w:rPr>
          <w:rFonts w:ascii="Garamond" w:eastAsia="EB Garamond" w:hAnsi="Garamond" w:cs="EB Garamond"/>
          <w:sz w:val="24"/>
          <w:szCs w:val="24"/>
        </w:rPr>
        <w:t>Rajasthan</w:t>
      </w:r>
      <w:r w:rsidRPr="0073250D">
        <w:rPr>
          <w:rFonts w:ascii="Garamond" w:eastAsia="EB Garamond" w:hAnsi="Garamond" w:cs="EB Garamond"/>
          <w:sz w:val="24"/>
          <w:szCs w:val="24"/>
        </w:rPr>
        <w:t xml:space="preserve">. This incident put into light the reality of women and her protection in the workplace.  Recognizing that there was no domestic law that dealt with sexual harassment of women in </w:t>
      </w:r>
      <w:r w:rsidR="004B2D32" w:rsidRPr="0073250D">
        <w:rPr>
          <w:rFonts w:ascii="Garamond" w:eastAsia="EB Garamond" w:hAnsi="Garamond" w:cs="EB Garamond"/>
          <w:sz w:val="24"/>
          <w:szCs w:val="24"/>
        </w:rPr>
        <w:t>works place</w:t>
      </w:r>
      <w:r w:rsidRPr="0073250D">
        <w:rPr>
          <w:rFonts w:ascii="Garamond" w:eastAsia="EB Garamond" w:hAnsi="Garamond" w:cs="EB Garamond"/>
          <w:sz w:val="24"/>
          <w:szCs w:val="24"/>
        </w:rPr>
        <w:t>, the Court brought guidelines which were later included in the</w:t>
      </w:r>
      <w:r w:rsidRPr="0073250D">
        <w:rPr>
          <w:rFonts w:ascii="Garamond" w:eastAsia="EB Garamond" w:hAnsi="Garamond" w:cs="EB Garamond"/>
          <w:color w:val="0A0A0A"/>
          <w:sz w:val="24"/>
          <w:szCs w:val="24"/>
          <w:highlight w:val="white"/>
        </w:rPr>
        <w:t xml:space="preserve"> Sexual Harassment of Women at Workplace (Prevention, Prohibition and Redressal) Act, 2013. </w:t>
      </w:r>
    </w:p>
    <w:p w14:paraId="0000005E" w14:textId="14A633B2"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Naz Foundation v. Govt. of NCT of Delhi (2009)</w:t>
      </w:r>
    </w:p>
    <w:p w14:paraId="0000005F" w14:textId="364D87E0"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In this case the NAZ Foundation, a non-governmental </w:t>
      </w:r>
      <w:proofErr w:type="spellStart"/>
      <w:r w:rsidRPr="0073250D">
        <w:rPr>
          <w:rFonts w:ascii="Garamond" w:eastAsia="EB Garamond" w:hAnsi="Garamond" w:cs="EB Garamond"/>
          <w:sz w:val="24"/>
          <w:szCs w:val="24"/>
        </w:rPr>
        <w:t>organisation</w:t>
      </w:r>
      <w:proofErr w:type="spellEnd"/>
      <w:r w:rsidRPr="0073250D">
        <w:rPr>
          <w:rFonts w:ascii="Garamond" w:eastAsia="EB Garamond" w:hAnsi="Garamond" w:cs="EB Garamond"/>
          <w:sz w:val="24"/>
          <w:szCs w:val="24"/>
        </w:rPr>
        <w:t xml:space="preserve"> working in the field of HIV/AIDS prevention, particularly amongst men who have sex with men (MSM), argued that its work was severely impaired by discriminatory attitudes exhibited by state authorities towards sexual minorities, MSM, lesbians and transgender individuals and that discriminatory laws such as Section 377 (Unnatural Offences) of the Indian Penal Code should be repealed. The petitioners stated that Section 377, to the extent it is applicable to and </w:t>
      </w:r>
      <w:r w:rsidR="004B2D32" w:rsidRPr="0073250D">
        <w:rPr>
          <w:rFonts w:ascii="Garamond" w:eastAsia="EB Garamond" w:hAnsi="Garamond" w:cs="EB Garamond"/>
          <w:sz w:val="24"/>
          <w:szCs w:val="24"/>
        </w:rPr>
        <w:t>penalizes</w:t>
      </w:r>
      <w:r w:rsidRPr="0073250D">
        <w:rPr>
          <w:rFonts w:ascii="Garamond" w:eastAsia="EB Garamond" w:hAnsi="Garamond" w:cs="EB Garamond"/>
          <w:sz w:val="24"/>
          <w:szCs w:val="24"/>
        </w:rPr>
        <w:t xml:space="preserve"> sexual acts in private between consenting adults, is violative of Articles 14 (equality before the law), 15 (non-discrimination), 19(1)(</w:t>
      </w:r>
      <w:proofErr w:type="gramStart"/>
      <w:r w:rsidRPr="0073250D">
        <w:rPr>
          <w:rFonts w:ascii="Garamond" w:eastAsia="EB Garamond" w:hAnsi="Garamond" w:cs="EB Garamond"/>
          <w:sz w:val="24"/>
          <w:szCs w:val="24"/>
        </w:rPr>
        <w:t>a)-(</w:t>
      </w:r>
      <w:proofErr w:type="gramEnd"/>
      <w:r w:rsidRPr="0073250D">
        <w:rPr>
          <w:rFonts w:ascii="Garamond" w:eastAsia="EB Garamond" w:hAnsi="Garamond" w:cs="EB Garamond"/>
          <w:sz w:val="24"/>
          <w:szCs w:val="24"/>
        </w:rPr>
        <w:t xml:space="preserve">d) (freedoms of expression, assembly and association) and 21 (right to life) of the Constitution. This was a landmark decision by the Delhi High Court, ending over a century of discriminatory legislation by declaring parts of Section 377 unconstitutional. The court declared ‘that Section 377 IPC, insofar it </w:t>
      </w:r>
      <w:r w:rsidR="004B2D32" w:rsidRPr="0073250D">
        <w:rPr>
          <w:rFonts w:ascii="Garamond" w:eastAsia="EB Garamond" w:hAnsi="Garamond" w:cs="EB Garamond"/>
          <w:sz w:val="24"/>
          <w:szCs w:val="24"/>
        </w:rPr>
        <w:t>criminalizes</w:t>
      </w:r>
      <w:r w:rsidRPr="0073250D">
        <w:rPr>
          <w:rFonts w:ascii="Garamond" w:eastAsia="EB Garamond" w:hAnsi="Garamond" w:cs="EB Garamond"/>
          <w:sz w:val="24"/>
          <w:szCs w:val="24"/>
        </w:rPr>
        <w:t xml:space="preserve"> consensual sexual acts of adults in private, is violative of Articles 21, 14 and 15 of the Constitution.’</w:t>
      </w:r>
    </w:p>
    <w:p w14:paraId="00000060" w14:textId="775DEDA6"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lastRenderedPageBreak/>
        <w:t xml:space="preserve">Considering Article 14 of the Constitution, the court held that whilst on its face Section 377 is neutral, in its operation it unfairly targets a particular community; ‘the fact is these sexual acts which are </w:t>
      </w:r>
      <w:r w:rsidR="004B2D32" w:rsidRPr="0073250D">
        <w:rPr>
          <w:rFonts w:ascii="Garamond" w:eastAsia="EB Garamond" w:hAnsi="Garamond" w:cs="EB Garamond"/>
          <w:sz w:val="24"/>
          <w:szCs w:val="24"/>
        </w:rPr>
        <w:t>criminalized</w:t>
      </w:r>
      <w:r w:rsidRPr="0073250D">
        <w:rPr>
          <w:rFonts w:ascii="Garamond" w:eastAsia="EB Garamond" w:hAnsi="Garamond" w:cs="EB Garamond"/>
          <w:sz w:val="24"/>
          <w:szCs w:val="24"/>
        </w:rPr>
        <w:t xml:space="preserve"> are associated more closely with one class of persons, namely, the homosexuals as a </w:t>
      </w:r>
      <w:proofErr w:type="spellStart"/>
      <w:r w:rsidRPr="0073250D">
        <w:rPr>
          <w:rFonts w:ascii="Garamond" w:eastAsia="EB Garamond" w:hAnsi="Garamond" w:cs="EB Garamond"/>
          <w:sz w:val="24"/>
          <w:szCs w:val="24"/>
        </w:rPr>
        <w:t>class’</w:t>
      </w:r>
      <w:proofErr w:type="spellEnd"/>
      <w:r w:rsidRPr="0073250D">
        <w:rPr>
          <w:rFonts w:ascii="Garamond" w:eastAsia="EB Garamond" w:hAnsi="Garamond" w:cs="EB Garamond"/>
          <w:sz w:val="24"/>
          <w:szCs w:val="24"/>
        </w:rPr>
        <w:t xml:space="preserve"> and is in violation of Article 14. When considering the question of whether ‘sex’ under Article 15 of the Constitution should be interpreted as including sexual orientation, the court held ‘that sexual orientation is a ground analogous to sex and that discrimination on the basis of sexual orientation is not permitted by Article 15.’ Consequently, Section 377 of the Indian Penal Code also violated Article 15.</w:t>
      </w:r>
      <w:r w:rsidRPr="0073250D">
        <w:rPr>
          <w:rFonts w:ascii="Garamond" w:eastAsia="EB Garamond" w:hAnsi="Garamond" w:cs="EB Garamond"/>
          <w:sz w:val="24"/>
          <w:szCs w:val="24"/>
          <w:highlight w:val="white"/>
        </w:rPr>
        <w:t xml:space="preserve"> </w:t>
      </w:r>
      <w:r w:rsidRPr="0073250D">
        <w:rPr>
          <w:rFonts w:ascii="Garamond" w:eastAsia="EB Garamond" w:hAnsi="Garamond" w:cs="EB Garamond"/>
          <w:sz w:val="24"/>
          <w:szCs w:val="24"/>
        </w:rPr>
        <w:t>The court concluded by stating that ‘it cannot be forgotten that discrimination is the antithesis of equality and that it is the recognition of equality which will foster the dignity of every individual.</w:t>
      </w:r>
    </w:p>
    <w:p w14:paraId="00000061" w14:textId="777F76B6"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 xml:space="preserve">Navtej Singh Johar </w:t>
      </w:r>
      <w:r w:rsidR="00341D33" w:rsidRPr="00E92C1D">
        <w:rPr>
          <w:rFonts w:ascii="Garamond" w:eastAsia="EB Garamond" w:hAnsi="Garamond" w:cs="EB Garamond"/>
          <w:sz w:val="24"/>
          <w:szCs w:val="24"/>
        </w:rPr>
        <w:t>v</w:t>
      </w:r>
      <w:r w:rsidRPr="00E92C1D">
        <w:rPr>
          <w:rFonts w:ascii="Garamond" w:eastAsia="EB Garamond" w:hAnsi="Garamond" w:cs="EB Garamond"/>
          <w:sz w:val="24"/>
          <w:szCs w:val="24"/>
        </w:rPr>
        <w:t>. Union of India (2018)</w:t>
      </w:r>
    </w:p>
    <w:p w14:paraId="00000062" w14:textId="653A1335"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The SC unanimously declared that Section 377 of the Indian Penal Code (which </w:t>
      </w:r>
      <w:r w:rsidR="004B2D32" w:rsidRPr="0073250D">
        <w:rPr>
          <w:rFonts w:ascii="Garamond" w:eastAsia="EB Garamond" w:hAnsi="Garamond" w:cs="EB Garamond"/>
          <w:sz w:val="24"/>
          <w:szCs w:val="24"/>
        </w:rPr>
        <w:t>criminalized</w:t>
      </w:r>
      <w:r w:rsidRPr="0073250D">
        <w:rPr>
          <w:rFonts w:ascii="Garamond" w:eastAsia="EB Garamond" w:hAnsi="Garamond" w:cs="EB Garamond"/>
          <w:sz w:val="24"/>
          <w:szCs w:val="24"/>
        </w:rPr>
        <w:t xml:space="preserve"> certain sexual acts) is unconstitutional </w:t>
      </w:r>
      <w:r w:rsidRPr="0073250D">
        <w:rPr>
          <w:rFonts w:ascii="Garamond" w:eastAsia="EB Garamond" w:hAnsi="Garamond" w:cs="EB Garamond"/>
          <w:i/>
          <w:iCs/>
          <w:sz w:val="24"/>
          <w:szCs w:val="24"/>
        </w:rPr>
        <w:t>insofar as</w:t>
      </w:r>
      <w:r w:rsidRPr="0073250D">
        <w:rPr>
          <w:rFonts w:ascii="Garamond" w:eastAsia="EB Garamond" w:hAnsi="Garamond" w:cs="EB Garamond"/>
          <w:sz w:val="24"/>
          <w:szCs w:val="24"/>
        </w:rPr>
        <w:t xml:space="preserve"> it criminalises consensual sexual conduct between adults of the same sex.</w:t>
      </w:r>
      <w:r w:rsidR="004B2D32">
        <w:rPr>
          <w:rFonts w:ascii="Garamond" w:eastAsia="EB Garamond" w:hAnsi="Garamond" w:cs="EB Garamond"/>
          <w:sz w:val="24"/>
          <w:szCs w:val="24"/>
        </w:rPr>
        <w:t xml:space="preserve"> </w:t>
      </w:r>
      <w:r w:rsidRPr="0073250D">
        <w:rPr>
          <w:rFonts w:ascii="Garamond" w:eastAsia="EB Garamond" w:hAnsi="Garamond" w:cs="EB Garamond"/>
          <w:sz w:val="24"/>
          <w:szCs w:val="24"/>
        </w:rPr>
        <w:t>The issue in</w:t>
      </w:r>
      <w:r w:rsidRPr="0073250D">
        <w:rPr>
          <w:rFonts w:ascii="Garamond" w:eastAsia="EB Garamond" w:hAnsi="Garamond" w:cs="EB Garamond"/>
          <w:color w:val="333333"/>
          <w:sz w:val="24"/>
          <w:szCs w:val="24"/>
        </w:rPr>
        <w:t xml:space="preserve"> </w:t>
      </w:r>
      <w:r w:rsidR="004B2D32" w:rsidRPr="0073250D">
        <w:rPr>
          <w:rFonts w:ascii="Garamond" w:eastAsia="EB Garamond" w:hAnsi="Garamond" w:cs="EB Garamond"/>
          <w:color w:val="333333"/>
          <w:sz w:val="24"/>
          <w:szCs w:val="24"/>
        </w:rPr>
        <w:t>this case</w:t>
      </w:r>
      <w:r w:rsidRPr="0073250D">
        <w:rPr>
          <w:rFonts w:ascii="Garamond" w:eastAsia="EB Garamond" w:hAnsi="Garamond" w:cs="EB Garamond"/>
          <w:color w:val="333333"/>
          <w:sz w:val="24"/>
          <w:szCs w:val="24"/>
        </w:rPr>
        <w:t xml:space="preserve"> of Naz Foundation v. Govt. of N.C.T. of Delhi (2009), where the Delhi High Court held Section 377 IPC unconstitutional.</w:t>
      </w:r>
      <w:r w:rsidR="004B2D32">
        <w:rPr>
          <w:rFonts w:ascii="Garamond" w:eastAsia="EB Garamond" w:hAnsi="Garamond" w:cs="EB Garamond"/>
          <w:color w:val="333333"/>
          <w:sz w:val="24"/>
          <w:szCs w:val="24"/>
        </w:rPr>
        <w:t xml:space="preserve"> </w:t>
      </w:r>
      <w:r w:rsidRPr="0073250D">
        <w:rPr>
          <w:rFonts w:ascii="Garamond" w:eastAsia="EB Garamond" w:hAnsi="Garamond" w:cs="EB Garamond"/>
          <w:color w:val="333333"/>
          <w:sz w:val="24"/>
          <w:szCs w:val="24"/>
        </w:rPr>
        <w:t>Later, the case of Suresh Kumar Koushal v. Naz Foundation (2013), overturned the decision of Delhi High Court.</w:t>
      </w:r>
      <w:r w:rsidR="004B2D32">
        <w:rPr>
          <w:rFonts w:ascii="Garamond" w:eastAsia="EB Garamond" w:hAnsi="Garamond" w:cs="EB Garamond"/>
          <w:color w:val="333333"/>
          <w:sz w:val="24"/>
          <w:szCs w:val="24"/>
        </w:rPr>
        <w:t xml:space="preserve"> </w:t>
      </w:r>
      <w:r w:rsidRPr="0073250D">
        <w:rPr>
          <w:rFonts w:ascii="Garamond" w:eastAsia="EB Garamond" w:hAnsi="Garamond" w:cs="EB Garamond"/>
          <w:color w:val="333333"/>
          <w:sz w:val="24"/>
          <w:szCs w:val="24"/>
        </w:rPr>
        <w:t>In the present case, the petitioner who was dancer and identified as a member of LGBTQ community filed a petition before the Supreme Court in 2016.The petitioner sought recognition of the right to sexuality, right to sexual autonomy and right to choose a sexual partner to be part of the right to life guaranteed by Article 21 of the Constitution of India, 1950.The Court relied on the case of National Legal Services Authority v. Union of India, (2014) to reiterate that gender identity is intrinsic to one’s personality and denying the same would be violative of one’s dignity. The Court relied upon the decision in K.S. Puttaswamy v. Union of India, (2017) and held that denying the LGBTQ community its right to privacy on the ground that they form a minority of the population would be violative of their fundamental rights.</w:t>
      </w:r>
      <w:r w:rsidR="00341D33">
        <w:rPr>
          <w:rFonts w:ascii="Garamond" w:eastAsia="EB Garamond" w:hAnsi="Garamond" w:cs="EB Garamond"/>
          <w:color w:val="333333"/>
          <w:sz w:val="24"/>
          <w:szCs w:val="24"/>
        </w:rPr>
        <w:t xml:space="preserve"> </w:t>
      </w:r>
      <w:r w:rsidRPr="0073250D">
        <w:rPr>
          <w:rFonts w:ascii="Garamond" w:eastAsia="EB Garamond" w:hAnsi="Garamond" w:cs="EB Garamond"/>
          <w:color w:val="333333"/>
          <w:sz w:val="24"/>
          <w:szCs w:val="24"/>
        </w:rPr>
        <w:t>The Court affirmed that “intimacy between consenting adults of the same sex is beyond the legitimate interests of the state”.</w:t>
      </w:r>
      <w:r w:rsidR="00341D33">
        <w:rPr>
          <w:rFonts w:ascii="Garamond" w:eastAsia="EB Garamond" w:hAnsi="Garamond" w:cs="EB Garamond"/>
          <w:color w:val="333333"/>
          <w:sz w:val="24"/>
          <w:szCs w:val="24"/>
        </w:rPr>
        <w:t xml:space="preserve"> </w:t>
      </w:r>
      <w:r w:rsidRPr="0073250D">
        <w:rPr>
          <w:rFonts w:ascii="Garamond" w:eastAsia="EB Garamond" w:hAnsi="Garamond" w:cs="EB Garamond"/>
          <w:color w:val="333333"/>
          <w:sz w:val="24"/>
          <w:szCs w:val="24"/>
        </w:rPr>
        <w:t>Sodomy laws violate the right to equality under Article 14 and Article 15 of the Constitution of India, 1950 by targeting a segment of the population for their sexual orientation.</w:t>
      </w:r>
      <w:r w:rsidR="00341D33">
        <w:rPr>
          <w:rFonts w:ascii="Garamond" w:eastAsia="EB Garamond" w:hAnsi="Garamond" w:cs="EB Garamond"/>
          <w:color w:val="333333"/>
          <w:sz w:val="24"/>
          <w:szCs w:val="24"/>
        </w:rPr>
        <w:t xml:space="preserve"> </w:t>
      </w:r>
      <w:r w:rsidRPr="0073250D">
        <w:rPr>
          <w:rFonts w:ascii="Garamond" w:eastAsia="EB Garamond" w:hAnsi="Garamond" w:cs="EB Garamond"/>
          <w:color w:val="333333"/>
          <w:sz w:val="24"/>
          <w:szCs w:val="24"/>
        </w:rPr>
        <w:t>The Court again relied on Shakti Vahini v. Union of India, (2018) 7 SCC 192 to reaffirm that an adult’s right to “choose a life partner of his/her choice is a facet of individual liberty.</w:t>
      </w:r>
    </w:p>
    <w:p w14:paraId="00000063" w14:textId="50836CA0"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Indian Young Lawyers Assn v. State of Kerala (2018)</w:t>
      </w:r>
    </w:p>
    <w:p w14:paraId="00000064" w14:textId="7FFFCFC3"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highlight w:val="white"/>
        </w:rPr>
        <w:lastRenderedPageBreak/>
        <w:t xml:space="preserve">The Sabarimala temple is one of the most prominent pilgrimage sites in India, located in the </w:t>
      </w:r>
      <w:proofErr w:type="spellStart"/>
      <w:r w:rsidRPr="0073250D">
        <w:rPr>
          <w:rFonts w:ascii="Garamond" w:eastAsia="EB Garamond" w:hAnsi="Garamond" w:cs="EB Garamond"/>
          <w:sz w:val="24"/>
          <w:szCs w:val="24"/>
          <w:highlight w:val="white"/>
        </w:rPr>
        <w:t>Periyar</w:t>
      </w:r>
      <w:proofErr w:type="spellEnd"/>
      <w:r w:rsidRPr="0073250D">
        <w:rPr>
          <w:rFonts w:ascii="Garamond" w:eastAsia="EB Garamond" w:hAnsi="Garamond" w:cs="EB Garamond"/>
          <w:sz w:val="24"/>
          <w:szCs w:val="24"/>
          <w:highlight w:val="white"/>
        </w:rPr>
        <w:t xml:space="preserve"> Tiger Reserve in the Western Ghat mountain ranges of Kerala. It is dedicated to the Hindu deity Ayyappan. The temple is estimated to be over 1000 years old. This case </w:t>
      </w:r>
      <w:r w:rsidRPr="0073250D">
        <w:rPr>
          <w:rFonts w:ascii="Garamond" w:eastAsia="EB Garamond" w:hAnsi="Garamond" w:cs="EB Garamond"/>
          <w:sz w:val="24"/>
          <w:szCs w:val="24"/>
        </w:rPr>
        <w:t>addressed the entry of women into Sabarimala temple discussing gender equality and religious rights.</w:t>
      </w:r>
      <w:r w:rsidR="004B2D32">
        <w:rPr>
          <w:rFonts w:ascii="Garamond" w:eastAsia="EB Garamond" w:hAnsi="Garamond" w:cs="EB Garamond"/>
          <w:sz w:val="24"/>
          <w:szCs w:val="24"/>
        </w:rPr>
        <w:t xml:space="preserve"> </w:t>
      </w:r>
      <w:r w:rsidRPr="0073250D">
        <w:rPr>
          <w:rFonts w:ascii="Garamond" w:eastAsia="EB Garamond" w:hAnsi="Garamond" w:cs="EB Garamond"/>
          <w:sz w:val="24"/>
          <w:szCs w:val="24"/>
          <w:highlight w:val="white"/>
        </w:rPr>
        <w:t>The 4:1 majority held that the ban on women aged 10-50 from entering the Sabarimala temple was unconstitutional and discriminatory. The court ruled that women of menstruating age cannot be excluded from the temple on the grounds of “morality” under Articles 25 and 26 of the Constitution.</w:t>
      </w:r>
    </w:p>
    <w:p w14:paraId="00000065" w14:textId="26772B73" w:rsidR="00487EAB" w:rsidRPr="00E92C1D" w:rsidRDefault="00000000" w:rsidP="00E92C1D">
      <w:pPr>
        <w:pStyle w:val="ListParagraph"/>
        <w:numPr>
          <w:ilvl w:val="0"/>
          <w:numId w:val="4"/>
        </w:numPr>
        <w:spacing w:before="240" w:after="240" w:line="360" w:lineRule="auto"/>
        <w:jc w:val="both"/>
        <w:rPr>
          <w:rFonts w:ascii="Garamond" w:eastAsia="EB Garamond" w:hAnsi="Garamond" w:cs="EB Garamond"/>
          <w:sz w:val="24"/>
          <w:szCs w:val="24"/>
        </w:rPr>
      </w:pPr>
      <w:r w:rsidRPr="00E92C1D">
        <w:rPr>
          <w:rFonts w:ascii="Garamond" w:eastAsia="EB Garamond" w:hAnsi="Garamond" w:cs="EB Garamond"/>
          <w:sz w:val="24"/>
          <w:szCs w:val="24"/>
        </w:rPr>
        <w:t xml:space="preserve">Supriyo @ Supriya Chakraborty and </w:t>
      </w:r>
      <w:r w:rsidR="004B2D32" w:rsidRPr="00E92C1D">
        <w:rPr>
          <w:rFonts w:ascii="Garamond" w:eastAsia="EB Garamond" w:hAnsi="Garamond" w:cs="EB Garamond"/>
          <w:sz w:val="24"/>
          <w:szCs w:val="24"/>
        </w:rPr>
        <w:t>A</w:t>
      </w:r>
      <w:r w:rsidRPr="00E92C1D">
        <w:rPr>
          <w:rFonts w:ascii="Garamond" w:eastAsia="EB Garamond" w:hAnsi="Garamond" w:cs="EB Garamond"/>
          <w:sz w:val="24"/>
          <w:szCs w:val="24"/>
        </w:rPr>
        <w:t xml:space="preserve">nr v. Union of India (2023) </w:t>
      </w:r>
    </w:p>
    <w:p w14:paraId="00000067" w14:textId="7E64A8B1"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Two same-sex couples, Supriyo Chakraborty and Abhay Dang filed a writ petition on November 14, 2022, in the Supreme Court seeking legal recognition of same-sex marriage under the Special Marriage.</w:t>
      </w:r>
      <w:r w:rsidR="00E92C1D">
        <w:rPr>
          <w:rFonts w:ascii="Garamond" w:eastAsia="EB Garamond" w:hAnsi="Garamond" w:cs="EB Garamond"/>
          <w:sz w:val="24"/>
          <w:szCs w:val="24"/>
        </w:rPr>
        <w:t xml:space="preserve"> </w:t>
      </w:r>
      <w:r w:rsidRPr="0073250D">
        <w:rPr>
          <w:rFonts w:ascii="Garamond" w:eastAsia="EB Garamond" w:hAnsi="Garamond" w:cs="EB Garamond"/>
          <w:sz w:val="24"/>
          <w:szCs w:val="24"/>
        </w:rPr>
        <w:t>The petitioners submitted that the non-recognition of same-sex marriage under the Act is an act of discrimination since Section 4(c) of the Act only allows marriage between a male and female. The</w:t>
      </w:r>
      <w:r w:rsidR="004A62E6">
        <w:rPr>
          <w:rFonts w:ascii="Garamond" w:eastAsia="EB Garamond" w:hAnsi="Garamond" w:cs="EB Garamond"/>
          <w:sz w:val="24"/>
          <w:szCs w:val="24"/>
        </w:rPr>
        <w:t xml:space="preserve"> </w:t>
      </w:r>
      <w:r w:rsidRPr="0073250D">
        <w:rPr>
          <w:rFonts w:ascii="Garamond" w:eastAsia="EB Garamond" w:hAnsi="Garamond" w:cs="EB Garamond"/>
          <w:sz w:val="24"/>
          <w:szCs w:val="24"/>
        </w:rPr>
        <w:t xml:space="preserve">5-judge Constitution Bench hearing the case refused to grant legal recognition to same-sex marriages, with the majority leaving it to the legislature to provide non-heterosexual couples the right to enter into a legally </w:t>
      </w:r>
      <w:r w:rsidR="004B2D32" w:rsidRPr="0073250D">
        <w:rPr>
          <w:rFonts w:ascii="Garamond" w:eastAsia="EB Garamond" w:hAnsi="Garamond" w:cs="EB Garamond"/>
          <w:sz w:val="24"/>
          <w:szCs w:val="24"/>
        </w:rPr>
        <w:t>recognized</w:t>
      </w:r>
      <w:r w:rsidRPr="0073250D">
        <w:rPr>
          <w:rFonts w:ascii="Garamond" w:eastAsia="EB Garamond" w:hAnsi="Garamond" w:cs="EB Garamond"/>
          <w:sz w:val="24"/>
          <w:szCs w:val="24"/>
        </w:rPr>
        <w:t xml:space="preserve"> marriage, a civil union or to adopt a child. It however reiterated that transgender marriage is legal as long as it confirms the norms of heteronormativity. </w:t>
      </w:r>
    </w:p>
    <w:p w14:paraId="00000068" w14:textId="23A19A4E" w:rsidR="00487EAB" w:rsidRPr="004A62E6" w:rsidRDefault="00000000" w:rsidP="004A62E6">
      <w:pPr>
        <w:pStyle w:val="ListParagraph"/>
        <w:numPr>
          <w:ilvl w:val="0"/>
          <w:numId w:val="4"/>
        </w:numPr>
        <w:spacing w:before="240" w:after="240" w:line="360" w:lineRule="auto"/>
        <w:jc w:val="both"/>
        <w:rPr>
          <w:rFonts w:ascii="Garamond" w:eastAsia="EB Garamond" w:hAnsi="Garamond" w:cs="EB Garamond"/>
          <w:sz w:val="24"/>
          <w:szCs w:val="24"/>
        </w:rPr>
      </w:pPr>
      <w:r w:rsidRPr="004A62E6">
        <w:rPr>
          <w:rFonts w:ascii="Garamond" w:eastAsia="EB Garamond" w:hAnsi="Garamond" w:cs="EB Garamond"/>
          <w:sz w:val="24"/>
          <w:szCs w:val="24"/>
        </w:rPr>
        <w:t xml:space="preserve">Shilpa Sailesh V. Varun Sreenivasan (2023) </w:t>
      </w:r>
    </w:p>
    <w:p w14:paraId="00000069" w14:textId="0451D87F"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A unique case on divorce in recent times, the couple approached the Supreme Court to dissolve their marriage though a transfer petition on grounds of </w:t>
      </w:r>
      <w:r w:rsidRPr="0073250D">
        <w:rPr>
          <w:rFonts w:ascii="Garamond" w:eastAsia="EB Garamond" w:hAnsi="Garamond" w:cs="EB Garamond"/>
          <w:color w:val="181818"/>
          <w:sz w:val="24"/>
          <w:szCs w:val="24"/>
          <w:highlight w:val="white"/>
        </w:rPr>
        <w:t xml:space="preserve">irretrievable </w:t>
      </w:r>
      <w:r w:rsidRPr="0073250D">
        <w:rPr>
          <w:rFonts w:ascii="Garamond" w:eastAsia="EB Garamond" w:hAnsi="Garamond" w:cs="EB Garamond"/>
          <w:sz w:val="24"/>
          <w:szCs w:val="24"/>
        </w:rPr>
        <w:t xml:space="preserve">breakdown of marriage. A Constitution Bench observed that it can dissolve a marriage in exercise of its powers under Article 142 of the Constitution, in cases where there is an irretrievable breakdown of marriage even though it is not a ground of divorce under the Hindu Marriage Act. The Court relied on practices of other jurisdictions such as the UK and US and also referred to the Law Commission Reports that </w:t>
      </w:r>
      <w:r w:rsidR="004B2D32" w:rsidRPr="0073250D">
        <w:rPr>
          <w:rFonts w:ascii="Garamond" w:eastAsia="EB Garamond" w:hAnsi="Garamond" w:cs="EB Garamond"/>
          <w:sz w:val="24"/>
          <w:szCs w:val="24"/>
        </w:rPr>
        <w:t>recognized</w:t>
      </w:r>
      <w:r w:rsidRPr="0073250D">
        <w:rPr>
          <w:rFonts w:ascii="Garamond" w:eastAsia="EB Garamond" w:hAnsi="Garamond" w:cs="EB Garamond"/>
          <w:sz w:val="24"/>
          <w:szCs w:val="24"/>
        </w:rPr>
        <w:t xml:space="preserve"> it as a ground to dissolve marriages.  </w:t>
      </w:r>
    </w:p>
    <w:p w14:paraId="0000006A" w14:textId="12F1374D" w:rsidR="00487EAB" w:rsidRPr="0073250D" w:rsidRDefault="00000000" w:rsidP="004A62E6">
      <w:pPr>
        <w:spacing w:before="240" w:after="240" w:line="360" w:lineRule="auto"/>
        <w:jc w:val="both"/>
        <w:rPr>
          <w:rFonts w:ascii="Garamond" w:eastAsia="EB Garamond" w:hAnsi="Garamond" w:cs="EB Garamond"/>
          <w:b/>
          <w:bCs/>
          <w:sz w:val="24"/>
          <w:szCs w:val="24"/>
        </w:rPr>
      </w:pPr>
      <w:r w:rsidRPr="0073250D">
        <w:rPr>
          <w:rFonts w:ascii="Garamond" w:eastAsia="EB Garamond" w:hAnsi="Garamond" w:cs="EB Garamond"/>
          <w:b/>
          <w:bCs/>
          <w:sz w:val="24"/>
          <w:szCs w:val="24"/>
        </w:rPr>
        <w:t xml:space="preserve">The strive towards Uniform Civil Code. </w:t>
      </w:r>
    </w:p>
    <w:p w14:paraId="0000006B" w14:textId="58FED37B" w:rsidR="00487EAB" w:rsidRPr="004A62E6" w:rsidRDefault="00000000" w:rsidP="004A62E6">
      <w:pPr>
        <w:pStyle w:val="ListParagraph"/>
        <w:numPr>
          <w:ilvl w:val="0"/>
          <w:numId w:val="4"/>
        </w:numPr>
        <w:spacing w:before="240" w:after="240" w:line="360" w:lineRule="auto"/>
        <w:jc w:val="both"/>
        <w:rPr>
          <w:rFonts w:ascii="Garamond" w:eastAsia="EB Garamond" w:hAnsi="Garamond" w:cs="EB Garamond"/>
          <w:sz w:val="24"/>
          <w:szCs w:val="24"/>
        </w:rPr>
      </w:pPr>
      <w:r w:rsidRPr="004A62E6">
        <w:rPr>
          <w:rFonts w:ascii="Garamond" w:eastAsia="EB Garamond" w:hAnsi="Garamond" w:cs="EB Garamond"/>
          <w:sz w:val="24"/>
          <w:szCs w:val="24"/>
        </w:rPr>
        <w:t>Mohd. Ahmed Khan v. Shah Bano Begum (1985)</w:t>
      </w:r>
    </w:p>
    <w:p w14:paraId="0000006C" w14:textId="2452FDC5"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Shah Bano Begum, a 62-year-old divorced Muslim woman, sought maintenance from her former husband under Section 125 of the Criminal Procedure Code, 1973. Her husband argued that under </w:t>
      </w:r>
      <w:r w:rsidRPr="0073250D">
        <w:rPr>
          <w:rFonts w:ascii="Garamond" w:eastAsia="EB Garamond" w:hAnsi="Garamond" w:cs="EB Garamond"/>
          <w:sz w:val="24"/>
          <w:szCs w:val="24"/>
        </w:rPr>
        <w:lastRenderedPageBreak/>
        <w:t xml:space="preserve">Islamic law, he had only to provide maintenance for the iddat period (roughly 90 days). She appealed to the Supreme Court after the High Court reduced her maintenance award. A bench led by Justice Y.V. Chandrachud held that the secular code of criminal procedure applies to all citizens regardless of religion. Muslim women are entitled to maintenance from their former husbands beyond the iddat period if they cannot support themselves. The judgment </w:t>
      </w:r>
      <w:r w:rsidR="004B2D32" w:rsidRPr="0073250D">
        <w:rPr>
          <w:rFonts w:ascii="Garamond" w:eastAsia="EB Garamond" w:hAnsi="Garamond" w:cs="EB Garamond"/>
          <w:sz w:val="24"/>
          <w:szCs w:val="24"/>
        </w:rPr>
        <w:t>emphasized</w:t>
      </w:r>
      <w:r w:rsidRPr="0073250D">
        <w:rPr>
          <w:rFonts w:ascii="Garamond" w:eastAsia="EB Garamond" w:hAnsi="Garamond" w:cs="EB Garamond"/>
          <w:sz w:val="24"/>
          <w:szCs w:val="24"/>
        </w:rPr>
        <w:t xml:space="preserve"> that while personal laws are respected, they cannot be used to deny fundamental rights to subsistence and dignity. Though the government subsequently passed the Muslim Women (Protection of Rights on Divorce) Act, 1986, to dilute the judgment, later courts (in cases like Danial Latifi v. Union of India, 2001) reinterpreted that Act to preserve the spirit of Shah Bano. The judgment marked an important assertion of secular law and gender justice over religious personal laws and became a landmark in the struggle for women's rights in India.</w:t>
      </w:r>
    </w:p>
    <w:p w14:paraId="0000006D" w14:textId="77777777" w:rsidR="00487EAB" w:rsidRPr="004B2D32" w:rsidRDefault="00000000" w:rsidP="004A62E6">
      <w:pPr>
        <w:spacing w:before="240" w:after="240" w:line="360" w:lineRule="auto"/>
        <w:jc w:val="both"/>
        <w:rPr>
          <w:rFonts w:ascii="Garamond" w:eastAsia="EB Garamond" w:hAnsi="Garamond" w:cs="EB Garamond"/>
          <w:b/>
          <w:bCs/>
          <w:sz w:val="24"/>
          <w:szCs w:val="24"/>
        </w:rPr>
      </w:pPr>
      <w:r w:rsidRPr="004B2D32">
        <w:rPr>
          <w:rFonts w:ascii="Garamond" w:eastAsia="EB Garamond" w:hAnsi="Garamond" w:cs="EB Garamond"/>
          <w:b/>
          <w:bCs/>
          <w:sz w:val="24"/>
          <w:szCs w:val="24"/>
        </w:rPr>
        <w:t>Labour Law and its interaction with the Constitution of India</w:t>
      </w:r>
    </w:p>
    <w:p w14:paraId="0000006E" w14:textId="19D2BCD2" w:rsidR="00487EAB" w:rsidRPr="004A62E6" w:rsidRDefault="00000000" w:rsidP="004A62E6">
      <w:pPr>
        <w:pStyle w:val="ListParagraph"/>
        <w:numPr>
          <w:ilvl w:val="0"/>
          <w:numId w:val="4"/>
        </w:numPr>
        <w:spacing w:before="240" w:after="240" w:line="360" w:lineRule="auto"/>
        <w:jc w:val="both"/>
        <w:rPr>
          <w:rFonts w:ascii="Garamond" w:eastAsia="EB Garamond" w:hAnsi="Garamond" w:cs="EB Garamond"/>
          <w:sz w:val="24"/>
          <w:szCs w:val="24"/>
        </w:rPr>
      </w:pPr>
      <w:r w:rsidRPr="004A62E6">
        <w:rPr>
          <w:rFonts w:ascii="Garamond" w:eastAsia="EB Garamond" w:hAnsi="Garamond" w:cs="EB Garamond"/>
          <w:sz w:val="24"/>
          <w:szCs w:val="24"/>
        </w:rPr>
        <w:t>People's Union for Democratic Rights (PUDR) vs Union of India (1982)</w:t>
      </w:r>
    </w:p>
    <w:p w14:paraId="0000006F" w14:textId="4CF798B5"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The People's Union for Democratic Rights filed a public interest litigation highlighting labor rights violations during construction projects for the 1982 Asian Games in Delhi. Workers faced exploitative conditions, including non-payment of minimum wages (with deductions of </w:t>
      </w:r>
      <w:r w:rsidRPr="0073250D">
        <w:rPr>
          <w:rFonts w:ascii="Times New Roman" w:eastAsia="EB Garamond" w:hAnsi="Times New Roman" w:cs="Times New Roman"/>
          <w:sz w:val="24"/>
          <w:szCs w:val="24"/>
        </w:rPr>
        <w:t>₹</w:t>
      </w:r>
      <w:r w:rsidRPr="0073250D">
        <w:rPr>
          <w:rFonts w:ascii="Garamond" w:eastAsia="EB Garamond" w:hAnsi="Garamond" w:cs="EB Garamond"/>
          <w:sz w:val="24"/>
          <w:szCs w:val="24"/>
        </w:rPr>
        <w:t xml:space="preserve">1 daily), child labour under age 14, gender discrimination with women paid less than men, and poor living conditions violating the Contract Labour Act, 1970. The Supreme Court held that the Union Government, Delhi Development Authority, and Delhi Administration must ensure payment of minimum wages and provision of other facilities under various labour laws. The judgment broadened the application of Article 21 "right to life with dignity" and expanded the scope of "forced labour" and Article 23. The Court held that violations of beneficial labour legislation constitute a breach of fundamental rights and that poor workers have the constitutional right to approach the Court for relief. This PIL established locus standi principles where third parties could file petitions on behalf of </w:t>
      </w:r>
      <w:r w:rsidR="004B2D32" w:rsidRPr="0073250D">
        <w:rPr>
          <w:rFonts w:ascii="Garamond" w:eastAsia="EB Garamond" w:hAnsi="Garamond" w:cs="EB Garamond"/>
          <w:sz w:val="24"/>
          <w:szCs w:val="24"/>
        </w:rPr>
        <w:t>marginalized</w:t>
      </w:r>
      <w:r w:rsidRPr="0073250D">
        <w:rPr>
          <w:rFonts w:ascii="Garamond" w:eastAsia="EB Garamond" w:hAnsi="Garamond" w:cs="EB Garamond"/>
          <w:sz w:val="24"/>
          <w:szCs w:val="24"/>
        </w:rPr>
        <w:t xml:space="preserve"> workers and reinforced state responsibility for labour law compliance.</w:t>
      </w:r>
    </w:p>
    <w:p w14:paraId="00000070" w14:textId="28C823BE" w:rsidR="00487EAB" w:rsidRPr="004A62E6" w:rsidRDefault="00000000" w:rsidP="004A62E6">
      <w:pPr>
        <w:pStyle w:val="ListParagraph"/>
        <w:numPr>
          <w:ilvl w:val="0"/>
          <w:numId w:val="4"/>
        </w:numPr>
        <w:spacing w:before="240" w:after="240" w:line="360" w:lineRule="auto"/>
        <w:jc w:val="both"/>
        <w:rPr>
          <w:rFonts w:ascii="Garamond" w:eastAsia="EB Garamond" w:hAnsi="Garamond" w:cs="EB Garamond"/>
          <w:sz w:val="24"/>
          <w:szCs w:val="24"/>
        </w:rPr>
      </w:pPr>
      <w:r w:rsidRPr="004A62E6">
        <w:rPr>
          <w:rFonts w:ascii="Garamond" w:eastAsia="EB Garamond" w:hAnsi="Garamond" w:cs="EB Garamond"/>
          <w:sz w:val="24"/>
          <w:szCs w:val="24"/>
        </w:rPr>
        <w:t>Bandhua Mukti Morcha vs Union of India (1984)</w:t>
      </w:r>
    </w:p>
    <w:p w14:paraId="00000071" w14:textId="77777777"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Bandhua Mukti Morcha filed a public interest litigation on behalf of migrant bonded labourers working in stone quarries in Faridabad district. These workers faced appalling conditions with no shelter, clean drinking water, latrines, or medical facilities, and were subject to respiratory infections </w:t>
      </w:r>
      <w:r w:rsidRPr="0073250D">
        <w:rPr>
          <w:rFonts w:ascii="Garamond" w:eastAsia="EB Garamond" w:hAnsi="Garamond" w:cs="EB Garamond"/>
          <w:sz w:val="24"/>
          <w:szCs w:val="24"/>
        </w:rPr>
        <w:lastRenderedPageBreak/>
        <w:t>from stone dust pollution. The Supreme Court held that the Haryana government must establish vigilance committees in each district division within six weeks to ensure compliance with the Bonded Labour Act, 1976. The Court appointed commissioners to investigate allegations and ruled that the state must designate district magistrates to identify bonded labour, enlist NGO and volunteer agency support, and rehouse bonded labourers within three months. The Court also directed implementation of the Minimum Wages Act of 1948 and ordered that the Central government's offices make unannounced visits at least weekly. This landmark PIL expanded the scope of Article 32, and demonstrated judicial activism in protecting vulnerable migrant workers through detailed implementation directives.</w:t>
      </w:r>
    </w:p>
    <w:p w14:paraId="00000072" w14:textId="77777777" w:rsidR="00487EAB" w:rsidRPr="0073250D" w:rsidRDefault="00000000" w:rsidP="004A62E6">
      <w:pPr>
        <w:spacing w:before="240" w:after="240" w:line="360" w:lineRule="auto"/>
        <w:jc w:val="both"/>
        <w:rPr>
          <w:rFonts w:ascii="Garamond" w:eastAsia="EB Garamond" w:hAnsi="Garamond" w:cs="EB Garamond"/>
          <w:b/>
          <w:bCs/>
          <w:sz w:val="24"/>
          <w:szCs w:val="24"/>
        </w:rPr>
      </w:pPr>
      <w:r w:rsidRPr="0073250D">
        <w:rPr>
          <w:rFonts w:ascii="Garamond" w:eastAsia="EB Garamond" w:hAnsi="Garamond" w:cs="EB Garamond"/>
          <w:b/>
          <w:bCs/>
          <w:sz w:val="24"/>
          <w:szCs w:val="24"/>
        </w:rPr>
        <w:t xml:space="preserve">The Right to Health </w:t>
      </w:r>
    </w:p>
    <w:p w14:paraId="00000073" w14:textId="2A0BB4B3" w:rsidR="00487EAB" w:rsidRPr="004A62E6" w:rsidRDefault="00000000" w:rsidP="004A62E6">
      <w:pPr>
        <w:pStyle w:val="ListParagraph"/>
        <w:numPr>
          <w:ilvl w:val="0"/>
          <w:numId w:val="4"/>
        </w:numPr>
        <w:spacing w:before="240" w:after="240" w:line="360" w:lineRule="auto"/>
        <w:jc w:val="both"/>
        <w:rPr>
          <w:rFonts w:ascii="Garamond" w:eastAsia="EB Garamond" w:hAnsi="Garamond" w:cs="EB Garamond"/>
          <w:sz w:val="24"/>
          <w:szCs w:val="24"/>
        </w:rPr>
      </w:pPr>
      <w:r w:rsidRPr="004A62E6">
        <w:rPr>
          <w:rFonts w:ascii="Garamond" w:eastAsia="EB Garamond" w:hAnsi="Garamond" w:cs="EB Garamond"/>
          <w:sz w:val="24"/>
          <w:szCs w:val="24"/>
        </w:rPr>
        <w:t>Parmanand Katara vs Union of India (1989)</w:t>
      </w:r>
    </w:p>
    <w:p w14:paraId="00000074" w14:textId="77777777"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Parmanand Katara, a human rights activist, filed a PIL based on a newspaper report about a scooterist hit by a car who was refused emergency treatment at a hospital and directed to another hospital 20 kilometers away due to medico-legal case restrictions. The patient died </w:t>
      </w:r>
      <w:proofErr w:type="spellStart"/>
      <w:r w:rsidRPr="0073250D">
        <w:rPr>
          <w:rFonts w:ascii="Garamond" w:eastAsia="EB Garamond" w:hAnsi="Garamond" w:cs="EB Garamond"/>
          <w:sz w:val="24"/>
          <w:szCs w:val="24"/>
        </w:rPr>
        <w:t>en</w:t>
      </w:r>
      <w:proofErr w:type="spellEnd"/>
      <w:r w:rsidRPr="0073250D">
        <w:rPr>
          <w:rFonts w:ascii="Garamond" w:eastAsia="EB Garamond" w:hAnsi="Garamond" w:cs="EB Garamond"/>
          <w:sz w:val="24"/>
          <w:szCs w:val="24"/>
        </w:rPr>
        <w:t xml:space="preserve"> route to the authorized hospital, prompting the case to establish rights regarding emergency medical care. The Supreme Court held that Article 21 right to life includes the right to emergency medical care, and all hospitals—both public and private—must provide immediate treatment to emergency cases. The Court established that police and legal formalities must be completed after emergency treatment, not before, and doctors cannot refuse treatment citing medico-legal case jurisdictions or zonal restrictions. The Court directed that procedural criminal law is subordinate to preserving human life and that unnecessary interrogation or summoning of doctors should be minimized to encourage emergency medical assistance.</w:t>
      </w:r>
    </w:p>
    <w:p w14:paraId="00000075" w14:textId="77777777" w:rsidR="00487EAB" w:rsidRPr="004B2D32" w:rsidRDefault="00000000" w:rsidP="004A62E6">
      <w:pPr>
        <w:spacing w:before="240" w:after="240" w:line="360" w:lineRule="auto"/>
        <w:jc w:val="both"/>
        <w:rPr>
          <w:rFonts w:ascii="Garamond" w:eastAsia="EB Garamond" w:hAnsi="Garamond" w:cs="EB Garamond"/>
          <w:b/>
          <w:bCs/>
          <w:sz w:val="24"/>
          <w:szCs w:val="24"/>
        </w:rPr>
      </w:pPr>
      <w:r w:rsidRPr="004B2D32">
        <w:rPr>
          <w:rFonts w:ascii="Garamond" w:eastAsia="EB Garamond" w:hAnsi="Garamond" w:cs="EB Garamond"/>
          <w:b/>
          <w:bCs/>
          <w:sz w:val="24"/>
          <w:szCs w:val="24"/>
        </w:rPr>
        <w:t>Constitutional Remedies</w:t>
      </w:r>
    </w:p>
    <w:p w14:paraId="00000078" w14:textId="48DF0BF6" w:rsidR="00487EAB" w:rsidRPr="004A62E6" w:rsidRDefault="00000000" w:rsidP="004A62E6">
      <w:pPr>
        <w:pStyle w:val="ListParagraph"/>
        <w:numPr>
          <w:ilvl w:val="0"/>
          <w:numId w:val="4"/>
        </w:numPr>
        <w:spacing w:before="240" w:after="240" w:line="360" w:lineRule="auto"/>
        <w:jc w:val="both"/>
        <w:rPr>
          <w:rFonts w:ascii="Garamond" w:eastAsia="EB Garamond" w:hAnsi="Garamond" w:cs="EB Garamond"/>
          <w:sz w:val="24"/>
          <w:szCs w:val="24"/>
        </w:rPr>
      </w:pPr>
      <w:r w:rsidRPr="004A62E6">
        <w:rPr>
          <w:rFonts w:ascii="Garamond" w:eastAsia="EB Garamond" w:hAnsi="Garamond" w:cs="EB Garamond"/>
          <w:sz w:val="24"/>
          <w:szCs w:val="24"/>
        </w:rPr>
        <w:t>Olga Tellis v</w:t>
      </w:r>
      <w:r w:rsidR="004B2D32" w:rsidRPr="004A62E6">
        <w:rPr>
          <w:rFonts w:ascii="Garamond" w:eastAsia="EB Garamond" w:hAnsi="Garamond" w:cs="EB Garamond"/>
          <w:sz w:val="24"/>
          <w:szCs w:val="24"/>
        </w:rPr>
        <w:t xml:space="preserve">. </w:t>
      </w:r>
      <w:r w:rsidRPr="004A62E6">
        <w:rPr>
          <w:rFonts w:ascii="Garamond" w:eastAsia="EB Garamond" w:hAnsi="Garamond" w:cs="EB Garamond"/>
          <w:sz w:val="24"/>
          <w:szCs w:val="24"/>
        </w:rPr>
        <w:t>Bombay Municipal Corporation (1986)</w:t>
      </w:r>
    </w:p>
    <w:p w14:paraId="00000079" w14:textId="210AD151" w:rsidR="00487EAB" w:rsidRPr="0073250D" w:rsidRDefault="00000000" w:rsidP="0073250D">
      <w:pPr>
        <w:spacing w:before="240" w:after="240" w:line="360" w:lineRule="auto"/>
        <w:jc w:val="both"/>
        <w:rPr>
          <w:rFonts w:ascii="Garamond" w:eastAsia="EB Garamond" w:hAnsi="Garamond" w:cs="EB Garamond"/>
          <w:sz w:val="24"/>
          <w:szCs w:val="24"/>
          <w:highlight w:val="white"/>
        </w:rPr>
      </w:pPr>
      <w:r w:rsidRPr="0073250D">
        <w:rPr>
          <w:rFonts w:ascii="Garamond" w:eastAsia="EB Garamond" w:hAnsi="Garamond" w:cs="EB Garamond"/>
          <w:sz w:val="24"/>
          <w:szCs w:val="24"/>
        </w:rPr>
        <w:t>Olga Tellis and other slum and pavement dwellers challenged the Maharashtra Government</w:t>
      </w:r>
      <w:r w:rsidR="004B2D32">
        <w:rPr>
          <w:rFonts w:ascii="Garamond" w:eastAsia="EB Garamond" w:hAnsi="Garamond" w:cs="EB Garamond"/>
          <w:sz w:val="24"/>
          <w:szCs w:val="24"/>
        </w:rPr>
        <w:t xml:space="preserve">. </w:t>
      </w:r>
      <w:r w:rsidRPr="0073250D">
        <w:rPr>
          <w:rFonts w:ascii="Garamond" w:eastAsia="EB Garamond" w:hAnsi="Garamond" w:cs="EB Garamond"/>
          <w:sz w:val="24"/>
          <w:szCs w:val="24"/>
        </w:rPr>
        <w:t xml:space="preserve">The Supreme Court held that the right to life under Article 21 includes the right to livelihood, establishing the landmark principle that "that which alone makes it possible to live must be an integral component of the right to life." The Court ruled that while the right to livelihood is not absolute, deprivation is valid only if lawfully procedural, and eviction without fair procedure violates Article 21. The Court </w:t>
      </w:r>
      <w:r w:rsidRPr="0073250D">
        <w:rPr>
          <w:rFonts w:ascii="Garamond" w:eastAsia="EB Garamond" w:hAnsi="Garamond" w:cs="EB Garamond"/>
          <w:sz w:val="24"/>
          <w:szCs w:val="24"/>
        </w:rPr>
        <w:lastRenderedPageBreak/>
        <w:t>directed that slums existing for over 20 years should not be removed unless land is needed for a public purpose, and if evicted for a public purpose, alternative sites must be provided. Notably, the Court ruled that pavement dwellers are not ordinary trespassers but occupy land due to helplessness, and fundamental rights cannot be overridden by estoppel.</w:t>
      </w:r>
    </w:p>
    <w:p w14:paraId="0000007A" w14:textId="66C4B7F4" w:rsidR="00487EAB" w:rsidRPr="0073250D" w:rsidRDefault="00000000" w:rsidP="004A62E6">
      <w:pPr>
        <w:spacing w:before="240" w:after="240" w:line="360" w:lineRule="auto"/>
        <w:jc w:val="both"/>
        <w:rPr>
          <w:rFonts w:ascii="Garamond" w:eastAsia="EB Garamond" w:hAnsi="Garamond" w:cs="EB Garamond"/>
          <w:b/>
          <w:bCs/>
          <w:sz w:val="24"/>
          <w:szCs w:val="24"/>
        </w:rPr>
      </w:pPr>
      <w:r w:rsidRPr="0073250D">
        <w:rPr>
          <w:rFonts w:ascii="Garamond" w:eastAsia="EB Garamond" w:hAnsi="Garamond" w:cs="EB Garamond"/>
          <w:b/>
          <w:bCs/>
          <w:sz w:val="24"/>
          <w:szCs w:val="24"/>
        </w:rPr>
        <w:t>Privacy and Digital Privacy</w:t>
      </w:r>
    </w:p>
    <w:p w14:paraId="0000007B" w14:textId="31C9ECCA" w:rsidR="00487EAB" w:rsidRPr="004A62E6" w:rsidRDefault="00000000" w:rsidP="004A62E6">
      <w:pPr>
        <w:pStyle w:val="ListParagraph"/>
        <w:numPr>
          <w:ilvl w:val="0"/>
          <w:numId w:val="4"/>
        </w:numPr>
        <w:spacing w:before="240" w:after="240" w:line="360" w:lineRule="auto"/>
        <w:jc w:val="both"/>
        <w:rPr>
          <w:rFonts w:ascii="Garamond" w:eastAsia="EB Garamond" w:hAnsi="Garamond" w:cs="EB Garamond"/>
          <w:sz w:val="24"/>
          <w:szCs w:val="24"/>
        </w:rPr>
      </w:pPr>
      <w:r w:rsidRPr="004A62E6">
        <w:rPr>
          <w:rFonts w:ascii="Garamond" w:eastAsia="EB Garamond" w:hAnsi="Garamond" w:cs="EB Garamond"/>
          <w:sz w:val="24"/>
          <w:szCs w:val="24"/>
        </w:rPr>
        <w:t>PUCL v. Union of India (Telephone Tapping Case, 1997)</w:t>
      </w:r>
    </w:p>
    <w:p w14:paraId="0A59B8C4" w14:textId="19E91643" w:rsidR="002664D7" w:rsidRDefault="00635CFF" w:rsidP="004C4A98">
      <w:pPr>
        <w:spacing w:before="280" w:line="360" w:lineRule="auto"/>
        <w:jc w:val="both"/>
        <w:rPr>
          <w:rFonts w:ascii="Garamond" w:eastAsia="EB Garamond" w:hAnsi="Garamond" w:cs="EB Garamond"/>
          <w:sz w:val="24"/>
          <w:szCs w:val="24"/>
        </w:rPr>
      </w:pPr>
      <w:r>
        <w:rPr>
          <w:rFonts w:ascii="Garamond" w:eastAsia="EB Garamond" w:hAnsi="Garamond" w:cs="EB Garamond"/>
          <w:sz w:val="24"/>
          <w:szCs w:val="24"/>
        </w:rPr>
        <w:t xml:space="preserve">The first historical case on the right to privacy, this Court in this case </w:t>
      </w:r>
      <w:r w:rsidRPr="0073250D">
        <w:rPr>
          <w:rFonts w:ascii="Garamond" w:eastAsia="EB Garamond" w:hAnsi="Garamond" w:cs="EB Garamond"/>
          <w:sz w:val="24"/>
          <w:szCs w:val="24"/>
        </w:rPr>
        <w:t>held that phone tapping violates Article 21 unless done under legal procedure and laid guidelines for interceptio</w:t>
      </w:r>
      <w:r>
        <w:rPr>
          <w:rFonts w:ascii="Garamond" w:eastAsia="EB Garamond" w:hAnsi="Garamond" w:cs="EB Garamond"/>
          <w:sz w:val="24"/>
          <w:szCs w:val="24"/>
        </w:rPr>
        <w:t xml:space="preserve">n which was </w:t>
      </w:r>
      <w:r w:rsidRPr="0073250D">
        <w:rPr>
          <w:rFonts w:ascii="Garamond" w:eastAsia="EB Garamond" w:hAnsi="Garamond" w:cs="EB Garamond"/>
          <w:sz w:val="24"/>
          <w:szCs w:val="24"/>
        </w:rPr>
        <w:t>later codified in Section 5(2), Telegraph Act and Forms the base for privacy protections in digital communication.</w:t>
      </w:r>
      <w:r>
        <w:rPr>
          <w:rFonts w:ascii="Garamond" w:eastAsia="EB Garamond" w:hAnsi="Garamond" w:cs="EB Garamond"/>
          <w:sz w:val="24"/>
          <w:szCs w:val="24"/>
        </w:rPr>
        <w:t xml:space="preserve"> The Court observed that telephonic conversations require protection as they form facet of privacy guaranteed under Art. 19 and 21 of the Indian Constitution</w:t>
      </w:r>
      <w:r w:rsidR="00A46E41">
        <w:rPr>
          <w:rFonts w:ascii="Garamond" w:eastAsia="EB Garamond" w:hAnsi="Garamond" w:cs="EB Garamond"/>
          <w:sz w:val="24"/>
          <w:szCs w:val="24"/>
        </w:rPr>
        <w:t>.</w:t>
      </w:r>
    </w:p>
    <w:p w14:paraId="23EB068C" w14:textId="67A0D048" w:rsidR="00635CFF" w:rsidRPr="004A62E6" w:rsidRDefault="002664D7" w:rsidP="004A62E6">
      <w:pPr>
        <w:pStyle w:val="ListParagraph"/>
        <w:numPr>
          <w:ilvl w:val="0"/>
          <w:numId w:val="4"/>
        </w:numPr>
        <w:spacing w:before="280" w:line="360" w:lineRule="auto"/>
        <w:jc w:val="both"/>
        <w:rPr>
          <w:rFonts w:ascii="Garamond" w:eastAsia="EB Garamond" w:hAnsi="Garamond" w:cs="EB Garamond"/>
          <w:sz w:val="24"/>
          <w:szCs w:val="24"/>
        </w:rPr>
      </w:pPr>
      <w:r w:rsidRPr="004A62E6">
        <w:rPr>
          <w:rFonts w:ascii="Garamond" w:eastAsia="EB Garamond" w:hAnsi="Garamond" w:cs="EB Garamond"/>
          <w:sz w:val="24"/>
          <w:szCs w:val="24"/>
        </w:rPr>
        <w:t>K.S. Puttaswamy v. Union of India (2017)</w:t>
      </w:r>
    </w:p>
    <w:p w14:paraId="521DD137" w14:textId="347189E6" w:rsidR="002664D7" w:rsidRDefault="002664D7" w:rsidP="004C4A98">
      <w:pPr>
        <w:spacing w:before="280" w:line="360" w:lineRule="auto"/>
        <w:jc w:val="both"/>
        <w:rPr>
          <w:rFonts w:ascii="Garamond" w:eastAsia="EB Garamond" w:hAnsi="Garamond" w:cs="EB Garamond"/>
          <w:sz w:val="24"/>
          <w:szCs w:val="24"/>
        </w:rPr>
      </w:pPr>
      <w:r>
        <w:rPr>
          <w:rFonts w:ascii="Garamond" w:eastAsia="EB Garamond" w:hAnsi="Garamond" w:cs="EB Garamond"/>
          <w:sz w:val="24"/>
          <w:szCs w:val="24"/>
        </w:rPr>
        <w:t xml:space="preserve">While this interesting case challenged the Aadhar Scheme introduced by the UPA government only to find itself questioning whether right to privacy is a fundamental right under the Indian Constitution. Overruling the </w:t>
      </w:r>
      <w:r w:rsidRPr="002664D7">
        <w:rPr>
          <w:rFonts w:ascii="Garamond" w:eastAsia="EB Garamond" w:hAnsi="Garamond" w:cs="EB Garamond"/>
          <w:i/>
          <w:iCs/>
          <w:sz w:val="24"/>
          <w:szCs w:val="24"/>
        </w:rPr>
        <w:t>M.P. Sharma </w:t>
      </w:r>
      <w:r w:rsidRPr="002664D7">
        <w:rPr>
          <w:rFonts w:ascii="Garamond" w:eastAsia="EB Garamond" w:hAnsi="Garamond" w:cs="EB Garamond"/>
          <w:sz w:val="24"/>
          <w:szCs w:val="24"/>
        </w:rPr>
        <w:t>and </w:t>
      </w:r>
      <w:proofErr w:type="spellStart"/>
      <w:r w:rsidRPr="002664D7">
        <w:rPr>
          <w:rFonts w:ascii="Garamond" w:eastAsia="EB Garamond" w:hAnsi="Garamond" w:cs="EB Garamond"/>
          <w:i/>
          <w:iCs/>
          <w:sz w:val="24"/>
          <w:szCs w:val="24"/>
        </w:rPr>
        <w:t>Kharak</w:t>
      </w:r>
      <w:proofErr w:type="spellEnd"/>
      <w:r w:rsidRPr="002664D7">
        <w:rPr>
          <w:rFonts w:ascii="Garamond" w:eastAsia="EB Garamond" w:hAnsi="Garamond" w:cs="EB Garamond"/>
          <w:i/>
          <w:iCs/>
          <w:sz w:val="24"/>
          <w:szCs w:val="24"/>
        </w:rPr>
        <w:t xml:space="preserve"> Singh</w:t>
      </w:r>
      <w:r>
        <w:rPr>
          <w:rFonts w:ascii="Garamond" w:eastAsia="EB Garamond" w:hAnsi="Garamond" w:cs="EB Garamond"/>
          <w:sz w:val="24"/>
          <w:szCs w:val="24"/>
        </w:rPr>
        <w:t xml:space="preserve"> judgements, the nine judge bench of the Supreme Court unanimously ruled that right to privacy is an intrinsic right guaranteed under the </w:t>
      </w:r>
      <w:r w:rsidR="00CF76B3" w:rsidRPr="00CF76B3">
        <w:rPr>
          <w:rFonts w:ascii="Garamond" w:eastAsia="EB Garamond" w:hAnsi="Garamond" w:cs="EB Garamond"/>
          <w:sz w:val="24"/>
          <w:szCs w:val="24"/>
        </w:rPr>
        <w:t>Part III of the Constitution of India</w:t>
      </w:r>
      <w:r w:rsidR="00CF76B3">
        <w:rPr>
          <w:rFonts w:ascii="Garamond" w:eastAsia="EB Garamond" w:hAnsi="Garamond" w:cs="EB Garamond"/>
          <w:sz w:val="24"/>
          <w:szCs w:val="24"/>
        </w:rPr>
        <w:t xml:space="preserve">. This case was later cited in several landmark judgements including Navtej Johar, Joseph Shine and several others.  </w:t>
      </w:r>
    </w:p>
    <w:p w14:paraId="00000083" w14:textId="77777777" w:rsidR="00487EAB" w:rsidRPr="004B2D32" w:rsidRDefault="00000000" w:rsidP="004A62E6">
      <w:pPr>
        <w:spacing w:before="280" w:line="360" w:lineRule="auto"/>
        <w:jc w:val="both"/>
        <w:rPr>
          <w:rFonts w:ascii="Garamond" w:eastAsia="EB Garamond" w:hAnsi="Garamond" w:cs="EB Garamond"/>
          <w:b/>
          <w:bCs/>
          <w:sz w:val="24"/>
          <w:szCs w:val="24"/>
        </w:rPr>
      </w:pPr>
      <w:r w:rsidRPr="004B2D32">
        <w:rPr>
          <w:rFonts w:ascii="Garamond" w:eastAsia="EB Garamond" w:hAnsi="Garamond" w:cs="EB Garamond"/>
          <w:b/>
          <w:bCs/>
          <w:sz w:val="24"/>
          <w:szCs w:val="24"/>
        </w:rPr>
        <w:t xml:space="preserve">Right to Die </w:t>
      </w:r>
    </w:p>
    <w:p w14:paraId="00000084" w14:textId="173B3782" w:rsidR="00487EAB" w:rsidRPr="004A62E6" w:rsidRDefault="00000000" w:rsidP="004A62E6">
      <w:pPr>
        <w:pStyle w:val="ListParagraph"/>
        <w:numPr>
          <w:ilvl w:val="0"/>
          <w:numId w:val="4"/>
        </w:numPr>
        <w:spacing w:before="120" w:after="120" w:line="360" w:lineRule="auto"/>
        <w:jc w:val="both"/>
        <w:rPr>
          <w:rFonts w:ascii="Garamond" w:eastAsia="EB Garamond" w:hAnsi="Garamond" w:cs="EB Garamond"/>
          <w:sz w:val="24"/>
          <w:szCs w:val="24"/>
        </w:rPr>
      </w:pPr>
      <w:r w:rsidRPr="004A62E6">
        <w:rPr>
          <w:rFonts w:ascii="Garamond" w:eastAsia="EB Garamond" w:hAnsi="Garamond" w:cs="EB Garamond"/>
          <w:sz w:val="24"/>
          <w:szCs w:val="24"/>
        </w:rPr>
        <w:t>P. Rathinam v. Union of India (1994)</w:t>
      </w:r>
      <w:r w:rsidRPr="004A62E6">
        <w:rPr>
          <w:rFonts w:ascii="Times New Roman" w:eastAsia="EB Garamond" w:hAnsi="Times New Roman" w:cs="Times New Roman"/>
          <w:sz w:val="24"/>
          <w:szCs w:val="24"/>
        </w:rPr>
        <w:t>​</w:t>
      </w:r>
    </w:p>
    <w:p w14:paraId="00000085" w14:textId="0AB5F4F4" w:rsidR="00487EAB" w:rsidRPr="0073250D" w:rsidRDefault="00000000" w:rsidP="0073250D">
      <w:pPr>
        <w:spacing w:before="240" w:after="12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A two-judge bench of the Supreme Court declared Section 309 of the Indian Penal Code unconstitutional. The petitioners, P. Rathinam and </w:t>
      </w:r>
      <w:proofErr w:type="spellStart"/>
      <w:r w:rsidRPr="0073250D">
        <w:rPr>
          <w:rFonts w:ascii="Garamond" w:eastAsia="EB Garamond" w:hAnsi="Garamond" w:cs="EB Garamond"/>
          <w:sz w:val="24"/>
          <w:szCs w:val="24"/>
        </w:rPr>
        <w:t>Nagbhushan</w:t>
      </w:r>
      <w:proofErr w:type="spellEnd"/>
      <w:r w:rsidRPr="0073250D">
        <w:rPr>
          <w:rFonts w:ascii="Garamond" w:eastAsia="EB Garamond" w:hAnsi="Garamond" w:cs="EB Garamond"/>
          <w:sz w:val="24"/>
          <w:szCs w:val="24"/>
        </w:rPr>
        <w:t xml:space="preserve"> Patnaik, challenged the </w:t>
      </w:r>
      <w:r w:rsidR="004B2D32" w:rsidRPr="0073250D">
        <w:rPr>
          <w:rFonts w:ascii="Garamond" w:eastAsia="EB Garamond" w:hAnsi="Garamond" w:cs="EB Garamond"/>
          <w:sz w:val="24"/>
          <w:szCs w:val="24"/>
        </w:rPr>
        <w:t>criminalization</w:t>
      </w:r>
      <w:r w:rsidRPr="0073250D">
        <w:rPr>
          <w:rFonts w:ascii="Garamond" w:eastAsia="EB Garamond" w:hAnsi="Garamond" w:cs="EB Garamond"/>
          <w:sz w:val="24"/>
          <w:szCs w:val="24"/>
        </w:rPr>
        <w:t xml:space="preserve"> of attempted suicide, arguing that punishing individuals already in mental distress was counterproductive. The Court </w:t>
      </w:r>
      <w:proofErr w:type="spellStart"/>
      <w:r w:rsidRPr="0073250D">
        <w:rPr>
          <w:rFonts w:ascii="Garamond" w:eastAsia="EB Garamond" w:hAnsi="Garamond" w:cs="EB Garamond"/>
          <w:sz w:val="24"/>
          <w:szCs w:val="24"/>
        </w:rPr>
        <w:t>recognised</w:t>
      </w:r>
      <w:proofErr w:type="spellEnd"/>
      <w:r w:rsidRPr="0073250D">
        <w:rPr>
          <w:rFonts w:ascii="Garamond" w:eastAsia="EB Garamond" w:hAnsi="Garamond" w:cs="EB Garamond"/>
          <w:sz w:val="24"/>
          <w:szCs w:val="24"/>
        </w:rPr>
        <w:t xml:space="preserve"> that Article 21's right to life includes the right not to live a forced life, reasoning that just as freedom of speech includes the right to remain silent, the right to life includes the right to die. This judgment held that Section 309 IPC violated Articles 14 and 21 of the Constitution.</w:t>
      </w:r>
      <w:r w:rsidRPr="0073250D">
        <w:rPr>
          <w:rFonts w:ascii="Times New Roman" w:eastAsia="EB Garamond" w:hAnsi="Times New Roman" w:cs="Times New Roman"/>
          <w:sz w:val="24"/>
          <w:szCs w:val="24"/>
        </w:rPr>
        <w:t>​</w:t>
      </w:r>
    </w:p>
    <w:p w14:paraId="00000086" w14:textId="00C3C9B0" w:rsidR="00487EAB" w:rsidRPr="004A62E6" w:rsidRDefault="00000000" w:rsidP="004A62E6">
      <w:pPr>
        <w:pStyle w:val="ListParagraph"/>
        <w:numPr>
          <w:ilvl w:val="0"/>
          <w:numId w:val="4"/>
        </w:numPr>
        <w:spacing w:before="240" w:after="120" w:line="360" w:lineRule="auto"/>
        <w:jc w:val="both"/>
        <w:rPr>
          <w:rFonts w:ascii="Garamond" w:eastAsia="EB Garamond" w:hAnsi="Garamond" w:cs="EB Garamond"/>
          <w:sz w:val="24"/>
          <w:szCs w:val="24"/>
        </w:rPr>
      </w:pPr>
      <w:r w:rsidRPr="004A62E6">
        <w:rPr>
          <w:rFonts w:ascii="Garamond" w:eastAsia="EB Garamond" w:hAnsi="Garamond" w:cs="EB Garamond"/>
          <w:sz w:val="24"/>
          <w:szCs w:val="24"/>
        </w:rPr>
        <w:lastRenderedPageBreak/>
        <w:t>Gian Kaur v. State of Punjab (1996)</w:t>
      </w:r>
      <w:r w:rsidRPr="004A62E6">
        <w:rPr>
          <w:rFonts w:ascii="Times New Roman" w:eastAsia="EB Garamond" w:hAnsi="Times New Roman" w:cs="Times New Roman"/>
          <w:sz w:val="24"/>
          <w:szCs w:val="24"/>
        </w:rPr>
        <w:t>​</w:t>
      </w:r>
    </w:p>
    <w:p w14:paraId="00000087" w14:textId="1593FE22" w:rsidR="00487EAB" w:rsidRPr="0073250D" w:rsidRDefault="00000000" w:rsidP="0073250D">
      <w:pPr>
        <w:spacing w:before="240" w:after="12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A five-judge constitutional bench overruled P. Rathinam's decision, marking a significant reversal. The case involved appellants charged under Section 306 IPC for abetting suicide. The Supreme Court held that the right to life under Article 21 does not include the right to die and that suicide is contrary to the natural order and divine principles. The Court distinguished between the right to live with dignity and the right to die, upholding Sections 306 and 309 IPC as constitutionally valid. This judgment </w:t>
      </w:r>
      <w:r w:rsidR="004B2D32" w:rsidRPr="0073250D">
        <w:rPr>
          <w:rFonts w:ascii="Garamond" w:eastAsia="EB Garamond" w:hAnsi="Garamond" w:cs="EB Garamond"/>
          <w:sz w:val="24"/>
          <w:szCs w:val="24"/>
        </w:rPr>
        <w:t>prioritized</w:t>
      </w:r>
      <w:r w:rsidRPr="0073250D">
        <w:rPr>
          <w:rFonts w:ascii="Garamond" w:eastAsia="EB Garamond" w:hAnsi="Garamond" w:cs="EB Garamond"/>
          <w:sz w:val="24"/>
          <w:szCs w:val="24"/>
        </w:rPr>
        <w:t xml:space="preserve"> state interests in preserving life over individual autonomy.</w:t>
      </w:r>
      <w:r w:rsidRPr="0073250D">
        <w:rPr>
          <w:rFonts w:ascii="Times New Roman" w:eastAsia="EB Garamond" w:hAnsi="Times New Roman" w:cs="Times New Roman"/>
          <w:sz w:val="24"/>
          <w:szCs w:val="24"/>
        </w:rPr>
        <w:t>​</w:t>
      </w:r>
    </w:p>
    <w:p w14:paraId="00000088" w14:textId="4729F3E7" w:rsidR="00487EAB" w:rsidRPr="004A62E6" w:rsidRDefault="00000000" w:rsidP="004A62E6">
      <w:pPr>
        <w:pStyle w:val="ListParagraph"/>
        <w:numPr>
          <w:ilvl w:val="0"/>
          <w:numId w:val="4"/>
        </w:numPr>
        <w:spacing w:before="240" w:after="120" w:line="360" w:lineRule="auto"/>
        <w:jc w:val="both"/>
        <w:rPr>
          <w:rFonts w:ascii="Garamond" w:eastAsia="EB Garamond" w:hAnsi="Garamond" w:cs="EB Garamond"/>
          <w:sz w:val="24"/>
          <w:szCs w:val="24"/>
        </w:rPr>
      </w:pPr>
      <w:r w:rsidRPr="004A62E6">
        <w:rPr>
          <w:rFonts w:ascii="Garamond" w:eastAsia="EB Garamond" w:hAnsi="Garamond" w:cs="EB Garamond"/>
          <w:sz w:val="24"/>
          <w:szCs w:val="24"/>
        </w:rPr>
        <w:t>Aruna Shanbaug v. Union of India (2011)</w:t>
      </w:r>
      <w:r w:rsidRPr="004A62E6">
        <w:rPr>
          <w:rFonts w:ascii="Times New Roman" w:eastAsia="EB Garamond" w:hAnsi="Times New Roman" w:cs="Times New Roman"/>
          <w:sz w:val="24"/>
          <w:szCs w:val="24"/>
        </w:rPr>
        <w:t>​</w:t>
      </w:r>
    </w:p>
    <w:p w14:paraId="00000089" w14:textId="77777777" w:rsidR="00487EAB" w:rsidRPr="0073250D" w:rsidRDefault="00000000" w:rsidP="0073250D">
      <w:pPr>
        <w:spacing w:before="240" w:after="12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This landmark case represented a pivotal shift in legal thinking about the right to die. Aruna Shanbaug, a nurse who had been in a permanent vegetative state for 37 years following a brutal sexual assault in 1973, became the subject of a euthanasia petition filed by journalist-activist Pinki Virani. Although the Supreme Court rejected the specific petition on March 7, 2011, the judgment legalized passive euthanasia for the first time in India.</w:t>
      </w:r>
      <w:r w:rsidRPr="0073250D">
        <w:rPr>
          <w:rFonts w:ascii="Times New Roman" w:eastAsia="EB Garamond" w:hAnsi="Times New Roman" w:cs="Times New Roman"/>
          <w:sz w:val="24"/>
          <w:szCs w:val="24"/>
        </w:rPr>
        <w:t>​</w:t>
      </w:r>
      <w:r w:rsidRPr="0073250D">
        <w:rPr>
          <w:rFonts w:ascii="Garamond" w:eastAsia="EB Garamond" w:hAnsi="Garamond" w:cs="EB Garamond"/>
          <w:sz w:val="24"/>
          <w:szCs w:val="24"/>
        </w:rPr>
        <w:t xml:space="preserve"> The Court permitted the withholding or withdrawal of life support from patients in a permanent vegetative state with no hope of recovery, allowing them to die with dignity. The judgment established guidelines requiring that decisions to withdraw treatment be made by parents, spouses, or close relatives, or in their absence, by a "next friend," with court approval. The Court also set up a mechanism involving a medical panel and requiring approval from at least a two-judge bench of the High Court.</w:t>
      </w:r>
      <w:r w:rsidRPr="0073250D">
        <w:rPr>
          <w:rFonts w:ascii="Times New Roman" w:eastAsia="EB Garamond" w:hAnsi="Times New Roman" w:cs="Times New Roman"/>
          <w:sz w:val="24"/>
          <w:szCs w:val="24"/>
        </w:rPr>
        <w:t>​</w:t>
      </w:r>
    </w:p>
    <w:p w14:paraId="0000008A" w14:textId="50F53FFF" w:rsidR="00487EAB" w:rsidRPr="004A62E6" w:rsidRDefault="00000000" w:rsidP="004A62E6">
      <w:pPr>
        <w:pStyle w:val="ListParagraph"/>
        <w:numPr>
          <w:ilvl w:val="0"/>
          <w:numId w:val="4"/>
        </w:numPr>
        <w:spacing w:before="240" w:after="120" w:line="360" w:lineRule="auto"/>
        <w:jc w:val="both"/>
        <w:rPr>
          <w:rFonts w:ascii="Garamond" w:eastAsia="EB Garamond" w:hAnsi="Garamond" w:cs="EB Garamond"/>
          <w:sz w:val="24"/>
          <w:szCs w:val="24"/>
        </w:rPr>
      </w:pPr>
      <w:r w:rsidRPr="004A62E6">
        <w:rPr>
          <w:rFonts w:ascii="Garamond" w:eastAsia="EB Garamond" w:hAnsi="Garamond" w:cs="EB Garamond"/>
          <w:sz w:val="24"/>
          <w:szCs w:val="24"/>
        </w:rPr>
        <w:t>Common Cause v. Union of India (2018)</w:t>
      </w:r>
      <w:r w:rsidRPr="004A62E6">
        <w:rPr>
          <w:rFonts w:ascii="Times New Roman" w:eastAsia="EB Garamond" w:hAnsi="Times New Roman" w:cs="Times New Roman"/>
          <w:sz w:val="24"/>
          <w:szCs w:val="24"/>
        </w:rPr>
        <w:t>​</w:t>
      </w:r>
    </w:p>
    <w:p w14:paraId="0000008B" w14:textId="7EACFFE1" w:rsidR="00487EAB" w:rsidRPr="0073250D" w:rsidRDefault="00000000" w:rsidP="0073250D">
      <w:pPr>
        <w:spacing w:before="240" w:after="12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This five-judge bench judgment by Chief Justice Dipak Misra unanimously </w:t>
      </w:r>
      <w:r w:rsidR="004B2D32" w:rsidRPr="0073250D">
        <w:rPr>
          <w:rFonts w:ascii="Garamond" w:eastAsia="EB Garamond" w:hAnsi="Garamond" w:cs="EB Garamond"/>
          <w:sz w:val="24"/>
          <w:szCs w:val="24"/>
        </w:rPr>
        <w:t>recognized</w:t>
      </w:r>
      <w:r w:rsidRPr="0073250D">
        <w:rPr>
          <w:rFonts w:ascii="Garamond" w:eastAsia="EB Garamond" w:hAnsi="Garamond" w:cs="EB Garamond"/>
          <w:sz w:val="24"/>
          <w:szCs w:val="24"/>
        </w:rPr>
        <w:t xml:space="preserve"> the "right to die with dignity" as a fundamental right under Article 21. The Court held that the right to life necessarily encompasses the right to live with dignity until death, and by extension, a right to a dignified death. This judgment represented the strongest judicial recognition of individual autonomy in end-of-life decisions.</w:t>
      </w:r>
      <w:r w:rsidRPr="0073250D">
        <w:rPr>
          <w:rFonts w:ascii="Times New Roman" w:eastAsia="EB Garamond" w:hAnsi="Times New Roman" w:cs="Times New Roman"/>
          <w:sz w:val="24"/>
          <w:szCs w:val="24"/>
        </w:rPr>
        <w:t>​</w:t>
      </w:r>
      <w:r w:rsidRPr="0073250D">
        <w:rPr>
          <w:rFonts w:ascii="Garamond" w:eastAsia="EB Garamond" w:hAnsi="Garamond" w:cs="EB Garamond"/>
          <w:sz w:val="24"/>
          <w:szCs w:val="24"/>
        </w:rPr>
        <w:t xml:space="preserve"> The 2018 judgment legalized passive euthanasia more broadly and introduced the concept of "living wills" or Advance Medical Directives (AMDs). These documents allow consenting adults of sound mind to specify their medical treatment preferences for situations where they become terminally ill or unable to communicate. The guidelines required that AMDs be signed by the executor in the presence of two witnesses and attested before a notary or </w:t>
      </w:r>
      <w:r w:rsidR="004B2D32" w:rsidRPr="0073250D">
        <w:rPr>
          <w:rFonts w:ascii="Garamond" w:eastAsia="EB Garamond" w:hAnsi="Garamond" w:cs="EB Garamond"/>
          <w:sz w:val="24"/>
          <w:szCs w:val="24"/>
        </w:rPr>
        <w:t>gazette</w:t>
      </w:r>
      <w:r w:rsidR="004B2D32">
        <w:rPr>
          <w:rFonts w:ascii="Garamond" w:eastAsia="EB Garamond" w:hAnsi="Garamond" w:cs="EB Garamond"/>
          <w:sz w:val="24"/>
          <w:szCs w:val="24"/>
        </w:rPr>
        <w:t xml:space="preserve">d </w:t>
      </w:r>
      <w:r w:rsidRPr="0073250D">
        <w:rPr>
          <w:rFonts w:ascii="Garamond" w:eastAsia="EB Garamond" w:hAnsi="Garamond" w:cs="EB Garamond"/>
          <w:sz w:val="24"/>
          <w:szCs w:val="24"/>
        </w:rPr>
        <w:t>officer</w:t>
      </w:r>
    </w:p>
    <w:p w14:paraId="0000008C" w14:textId="77777777" w:rsidR="00487EAB" w:rsidRPr="004B2D32" w:rsidRDefault="00000000" w:rsidP="004A62E6">
      <w:pPr>
        <w:spacing w:before="280" w:line="360" w:lineRule="auto"/>
        <w:jc w:val="both"/>
        <w:rPr>
          <w:rFonts w:ascii="Garamond" w:eastAsia="EB Garamond" w:hAnsi="Garamond" w:cs="EB Garamond"/>
          <w:b/>
          <w:bCs/>
          <w:sz w:val="24"/>
          <w:szCs w:val="24"/>
        </w:rPr>
      </w:pPr>
      <w:r w:rsidRPr="004B2D32">
        <w:rPr>
          <w:rFonts w:ascii="Garamond" w:eastAsia="EB Garamond" w:hAnsi="Garamond" w:cs="EB Garamond"/>
          <w:b/>
          <w:bCs/>
          <w:sz w:val="24"/>
          <w:szCs w:val="24"/>
        </w:rPr>
        <w:lastRenderedPageBreak/>
        <w:t>Miscellaneous</w:t>
      </w:r>
    </w:p>
    <w:p w14:paraId="0000008D" w14:textId="665CAD9A" w:rsidR="00487EAB" w:rsidRPr="004A62E6" w:rsidRDefault="00000000" w:rsidP="004A62E6">
      <w:pPr>
        <w:pStyle w:val="ListParagraph"/>
        <w:numPr>
          <w:ilvl w:val="0"/>
          <w:numId w:val="4"/>
        </w:numPr>
        <w:spacing w:before="280" w:line="360" w:lineRule="auto"/>
        <w:jc w:val="both"/>
        <w:rPr>
          <w:rFonts w:ascii="Garamond" w:eastAsia="EB Garamond" w:hAnsi="Garamond" w:cs="EB Garamond"/>
          <w:sz w:val="24"/>
          <w:szCs w:val="24"/>
        </w:rPr>
      </w:pPr>
      <w:r w:rsidRPr="004A62E6">
        <w:rPr>
          <w:rFonts w:ascii="Garamond" w:eastAsia="EB Garamond" w:hAnsi="Garamond" w:cs="EB Garamond"/>
          <w:sz w:val="24"/>
          <w:szCs w:val="24"/>
        </w:rPr>
        <w:t>Maqbool Hussain v</w:t>
      </w:r>
      <w:r w:rsidR="004B2D32" w:rsidRPr="004A62E6">
        <w:rPr>
          <w:rFonts w:ascii="Garamond" w:eastAsia="EB Garamond" w:hAnsi="Garamond" w:cs="EB Garamond"/>
          <w:sz w:val="24"/>
          <w:szCs w:val="24"/>
        </w:rPr>
        <w:t xml:space="preserve">. </w:t>
      </w:r>
      <w:r w:rsidRPr="004A62E6">
        <w:rPr>
          <w:rFonts w:ascii="Garamond" w:eastAsia="EB Garamond" w:hAnsi="Garamond" w:cs="EB Garamond"/>
          <w:sz w:val="24"/>
          <w:szCs w:val="24"/>
        </w:rPr>
        <w:t>State of Bombay (1953)</w:t>
      </w:r>
    </w:p>
    <w:p w14:paraId="0000008E" w14:textId="77777777" w:rsidR="00487EAB" w:rsidRPr="0073250D" w:rsidRDefault="00000000" w:rsidP="0073250D">
      <w:pPr>
        <w:spacing w:before="28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Maqbool Hussain arrived at Santa Cruz Airport carrying undeclared gold in violation of customs regulations, leading to confiscation by customs authorities under the Sea Customs Act, 1878. Subsequently, he was prosecuted under the Foreign Exchange Regulation Act (FERA), and he claimed double jeopardy under Article 20(2). The Supreme Court held that customs confiscation does not constitute "prosecution and punishment" under Article 20(2) because it is merely an administrative action for revenue and forex protection. The Court established that Article 20(2) applies only when prosecution occurs before a judicial tribunal resulting in conviction or acquittal for the same offence. This narrow interpretation clarified that administrative actions and penalties do not bar subsequent judicial prosecution, distinguishing between administrative proceedings and judicial prosecution.</w:t>
      </w:r>
    </w:p>
    <w:p w14:paraId="0000008F" w14:textId="1A4932F7" w:rsidR="00487EAB" w:rsidRPr="004A62E6" w:rsidRDefault="00000000" w:rsidP="004A62E6">
      <w:pPr>
        <w:pStyle w:val="ListParagraph"/>
        <w:numPr>
          <w:ilvl w:val="0"/>
          <w:numId w:val="4"/>
        </w:numPr>
        <w:spacing w:before="280" w:line="360" w:lineRule="auto"/>
        <w:jc w:val="both"/>
        <w:rPr>
          <w:rFonts w:ascii="Garamond" w:eastAsia="EB Garamond" w:hAnsi="Garamond" w:cs="EB Garamond"/>
          <w:sz w:val="24"/>
          <w:szCs w:val="24"/>
          <w:u w:val="single"/>
        </w:rPr>
      </w:pPr>
      <w:r w:rsidRPr="004A62E6">
        <w:rPr>
          <w:rFonts w:ascii="Garamond" w:eastAsia="EB Garamond" w:hAnsi="Garamond" w:cs="EB Garamond"/>
          <w:sz w:val="24"/>
          <w:szCs w:val="24"/>
          <w:u w:val="single"/>
        </w:rPr>
        <w:t xml:space="preserve">In Re: </w:t>
      </w:r>
      <w:proofErr w:type="spellStart"/>
      <w:r w:rsidRPr="004A62E6">
        <w:rPr>
          <w:rFonts w:ascii="Garamond" w:eastAsia="EB Garamond" w:hAnsi="Garamond" w:cs="EB Garamond"/>
          <w:sz w:val="24"/>
          <w:szCs w:val="24"/>
          <w:u w:val="single"/>
        </w:rPr>
        <w:t>Berubari</w:t>
      </w:r>
      <w:proofErr w:type="spellEnd"/>
      <w:r w:rsidRPr="004A62E6">
        <w:rPr>
          <w:rFonts w:ascii="Garamond" w:eastAsia="EB Garamond" w:hAnsi="Garamond" w:cs="EB Garamond"/>
          <w:sz w:val="24"/>
          <w:szCs w:val="24"/>
          <w:u w:val="single"/>
        </w:rPr>
        <w:t xml:space="preserve"> Union and Exchange of Enclaves (1960)</w:t>
      </w:r>
    </w:p>
    <w:p w14:paraId="00000090" w14:textId="77777777" w:rsidR="00487EAB" w:rsidRPr="0073250D" w:rsidRDefault="00000000" w:rsidP="0073250D">
      <w:pPr>
        <w:spacing w:before="28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Following the Partition, enclaves of Indian territory existed within Bangladesh (then East Pakistan), and vice versa. India and Pakistan agreed to exchange these enclaves. However, some politicians and citizens challenged whether such an exchange required a constitutional amendment under Article 368.The Supreme Court held that the power to acquire, hold, and dispose of territory is an inherent attribute of sovereignty and does not require constitutional amendment under Article 368. The Court reasoned that Article 368 applies only to amendments of the Constitution's text, not to the exercise of sovereign powers relating to territorial matters. However, this judgment prompted the 9th Amendment Act (1960), which explicitly provided constitutional authority for such territorial exchanges. This case established the distinction between constitutional amendments (affecting the Constitution's text) and exercises of sovereignty (affecting territory). It demonstrated how constitutional gaps necessitate amendments—leading to the 9th Amendment. The case influenced later jurisprudence on the limits of implied powers and the primacy of explicit constitutional authorization. </w:t>
      </w:r>
    </w:p>
    <w:p w14:paraId="00000091" w14:textId="34DEFC1A" w:rsidR="00487EAB" w:rsidRPr="004A62E6" w:rsidRDefault="00000000" w:rsidP="004A62E6">
      <w:pPr>
        <w:pStyle w:val="ListParagraph"/>
        <w:numPr>
          <w:ilvl w:val="0"/>
          <w:numId w:val="4"/>
        </w:numPr>
        <w:spacing w:before="280" w:line="360" w:lineRule="auto"/>
        <w:jc w:val="both"/>
        <w:rPr>
          <w:rFonts w:ascii="Garamond" w:eastAsia="EB Garamond" w:hAnsi="Garamond" w:cs="EB Garamond"/>
          <w:sz w:val="24"/>
          <w:szCs w:val="24"/>
        </w:rPr>
      </w:pPr>
      <w:r w:rsidRPr="004A62E6">
        <w:rPr>
          <w:rFonts w:ascii="Garamond" w:eastAsia="EB Garamond" w:hAnsi="Garamond" w:cs="EB Garamond"/>
          <w:sz w:val="24"/>
          <w:szCs w:val="24"/>
        </w:rPr>
        <w:t>State of Bombay v</w:t>
      </w:r>
      <w:r w:rsidR="00635CFF" w:rsidRPr="004A62E6">
        <w:rPr>
          <w:rFonts w:ascii="Garamond" w:eastAsia="EB Garamond" w:hAnsi="Garamond" w:cs="EB Garamond"/>
          <w:sz w:val="24"/>
          <w:szCs w:val="24"/>
        </w:rPr>
        <w:t xml:space="preserve">. </w:t>
      </w:r>
      <w:r w:rsidRPr="004A62E6">
        <w:rPr>
          <w:rFonts w:ascii="Garamond" w:eastAsia="EB Garamond" w:hAnsi="Garamond" w:cs="EB Garamond"/>
          <w:sz w:val="24"/>
          <w:szCs w:val="24"/>
        </w:rPr>
        <w:t>Kathi Kalu (1961)</w:t>
      </w:r>
    </w:p>
    <w:p w14:paraId="00000092" w14:textId="77777777" w:rsidR="00487EAB" w:rsidRPr="0073250D" w:rsidRDefault="00000000" w:rsidP="0073250D">
      <w:pPr>
        <w:spacing w:before="28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Kathi Kalu was accused of murder and illegal arms possession, and while in police custody, the authorities obtained his specimen handwriting samples, which matched a chit found at the crime scene. </w:t>
      </w:r>
      <w:r w:rsidRPr="0073250D">
        <w:rPr>
          <w:rFonts w:ascii="Garamond" w:eastAsia="EB Garamond" w:hAnsi="Garamond" w:cs="EB Garamond"/>
          <w:sz w:val="24"/>
          <w:szCs w:val="24"/>
        </w:rPr>
        <w:lastRenderedPageBreak/>
        <w:t>A statement made under Section 27 of the Indian Evidence Act led to the recovery of firearms, and Kalu contended that taking the specimen handwriting and the statement violated his Article 20(3) protection against self-incrimination. The Supreme Court held that specimen handwriting and fingerprints do not constitute self-incriminatory "information" under Article 20(3) because this protection applies only to testimonial compulsion, not non-testimonial physical evidence. The Court established that Article 20(3) protects against being compelled to be a "witness" (testimonial evidence), while physical consequences of statements and physical evidence like handwriting and fingerprints are not protected. This case remains the controlling law on Article 20(3) scope and permits the collection of physical evidence without consent.</w:t>
      </w:r>
    </w:p>
    <w:p w14:paraId="00000093" w14:textId="6AAB16FA" w:rsidR="00487EAB" w:rsidRPr="004A62E6" w:rsidRDefault="00000000" w:rsidP="004A62E6">
      <w:pPr>
        <w:pStyle w:val="ListParagraph"/>
        <w:numPr>
          <w:ilvl w:val="0"/>
          <w:numId w:val="4"/>
        </w:numPr>
        <w:spacing w:before="280" w:line="360" w:lineRule="auto"/>
        <w:jc w:val="both"/>
        <w:rPr>
          <w:rFonts w:ascii="Garamond" w:eastAsia="EB Garamond" w:hAnsi="Garamond" w:cs="EB Garamond"/>
          <w:sz w:val="24"/>
          <w:szCs w:val="24"/>
        </w:rPr>
      </w:pPr>
      <w:r w:rsidRPr="004A62E6">
        <w:rPr>
          <w:rFonts w:ascii="Garamond" w:eastAsia="EB Garamond" w:hAnsi="Garamond" w:cs="EB Garamond"/>
          <w:sz w:val="24"/>
          <w:szCs w:val="24"/>
        </w:rPr>
        <w:t>R.C. Cooper v. Union of India (1970)</w:t>
      </w:r>
    </w:p>
    <w:p w14:paraId="00000094" w14:textId="77777777" w:rsidR="00487EAB" w:rsidRPr="0073250D" w:rsidRDefault="00000000" w:rsidP="0073250D">
      <w:pPr>
        <w:spacing w:before="28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In 1969, the Indian government nationalized 14 major commercial banks. R.C. Cooper, a shareholder and director of one of these banks, challenged the nationalization, claiming it violated his fundamental rights to property (Article 19(1)(f)) and to conduct business (Article 19(1)(g)). A bench of 11 judges upheld the nationalization as a valid exercise of state power but introduced the "effect test" for examining laws. Instead of focusing on the form or stated purpose of the legislation, the Court assessed its actual impact on fundamental rights. It ruled that compensation must be "adequate" and must have a reasonable relationship to the value of the property acquired. The Court also allowed for judicial scrutiny to determine whether the compensation offered represented adequate value. This case marked a shift from a formalistic interpretation of laws to a substantive examination of state actions. It established that while the state can acquire property for public purposes, it cannot do so arbitrarily or without providing adequate compensation. The judgment effectively rejected the narrow "object and form" doctrine that had been established in the case of A.K. Gopalan.</w:t>
      </w:r>
    </w:p>
    <w:p w14:paraId="00000095" w14:textId="0723C214" w:rsidR="00487EAB" w:rsidRPr="004A62E6" w:rsidRDefault="00000000" w:rsidP="004A62E6">
      <w:pPr>
        <w:pStyle w:val="ListParagraph"/>
        <w:numPr>
          <w:ilvl w:val="0"/>
          <w:numId w:val="4"/>
        </w:numPr>
        <w:spacing w:before="280" w:line="360" w:lineRule="auto"/>
        <w:jc w:val="both"/>
        <w:rPr>
          <w:rFonts w:ascii="Garamond" w:eastAsia="EB Garamond" w:hAnsi="Garamond" w:cs="EB Garamond"/>
          <w:sz w:val="24"/>
          <w:szCs w:val="24"/>
        </w:rPr>
      </w:pPr>
      <w:r w:rsidRPr="004A62E6">
        <w:rPr>
          <w:rFonts w:ascii="Garamond" w:eastAsia="EB Garamond" w:hAnsi="Garamond" w:cs="EB Garamond"/>
          <w:sz w:val="24"/>
          <w:szCs w:val="24"/>
        </w:rPr>
        <w:t>Sunil Batra v</w:t>
      </w:r>
      <w:r w:rsidR="00635CFF" w:rsidRPr="004A62E6">
        <w:rPr>
          <w:rFonts w:ascii="Garamond" w:eastAsia="EB Garamond" w:hAnsi="Garamond" w:cs="EB Garamond"/>
          <w:sz w:val="24"/>
          <w:szCs w:val="24"/>
        </w:rPr>
        <w:t xml:space="preserve">. </w:t>
      </w:r>
      <w:r w:rsidRPr="004A62E6">
        <w:rPr>
          <w:rFonts w:ascii="Garamond" w:eastAsia="EB Garamond" w:hAnsi="Garamond" w:cs="EB Garamond"/>
          <w:sz w:val="24"/>
          <w:szCs w:val="24"/>
        </w:rPr>
        <w:t>Delhi Administration (1978)</w:t>
      </w:r>
    </w:p>
    <w:p w14:paraId="00000096" w14:textId="20B98442" w:rsidR="00487EAB" w:rsidRPr="0073250D" w:rsidRDefault="00000000" w:rsidP="0073250D">
      <w:pPr>
        <w:spacing w:before="28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Sunil Batra, a death row inmate in Tihar Jail, wrote a letter to a Supreme Court judge alleging that another prisoner was tortured by a prison warder who inserted a rod into his anal region to extort money. The Supreme Court treated the letter as a habeas corpus writ petition and appointed an amicus curiae to conduct a prison investigation. The Court affirmed its authority under Articles 32 and 226 to address cases where fundamental rights are violated, holding that prisoners retain fundamental rights even after conviction under Articles 14, 19, and 21. The Court acknowledged that while Section </w:t>
      </w:r>
      <w:r w:rsidRPr="0073250D">
        <w:rPr>
          <w:rFonts w:ascii="Garamond" w:eastAsia="EB Garamond" w:hAnsi="Garamond" w:cs="EB Garamond"/>
          <w:sz w:val="24"/>
          <w:szCs w:val="24"/>
        </w:rPr>
        <w:lastRenderedPageBreak/>
        <w:t xml:space="preserve">30(2) of the Prison Act permits solitary confinement in some circumstances, it does not </w:t>
      </w:r>
      <w:r w:rsidR="00635CFF" w:rsidRPr="0073250D">
        <w:rPr>
          <w:rFonts w:ascii="Garamond" w:eastAsia="EB Garamond" w:hAnsi="Garamond" w:cs="EB Garamond"/>
          <w:sz w:val="24"/>
          <w:szCs w:val="24"/>
        </w:rPr>
        <w:t>authorize</w:t>
      </w:r>
      <w:r w:rsidRPr="0073250D">
        <w:rPr>
          <w:rFonts w:ascii="Garamond" w:eastAsia="EB Garamond" w:hAnsi="Garamond" w:cs="EB Garamond"/>
          <w:sz w:val="24"/>
          <w:szCs w:val="24"/>
        </w:rPr>
        <w:t xml:space="preserve"> torture, and since Sunil Batra's death sentence was not final, he could not be kept in such confinement. The judgment established that fundamental rights are not extinguished upon conviction and that Article 21 protection extends to ensuring humane prison conditions and protection from torture. This case marked a pivotal moment in </w:t>
      </w:r>
      <w:r w:rsidR="00635CFF" w:rsidRPr="0073250D">
        <w:rPr>
          <w:rFonts w:ascii="Garamond" w:eastAsia="EB Garamond" w:hAnsi="Garamond" w:cs="EB Garamond"/>
          <w:sz w:val="24"/>
          <w:szCs w:val="24"/>
        </w:rPr>
        <w:t>recognizing</w:t>
      </w:r>
      <w:r w:rsidRPr="0073250D">
        <w:rPr>
          <w:rFonts w:ascii="Garamond" w:eastAsia="EB Garamond" w:hAnsi="Garamond" w:cs="EB Garamond"/>
          <w:sz w:val="24"/>
          <w:szCs w:val="24"/>
        </w:rPr>
        <w:t xml:space="preserve"> prisoners' rights and initiated prison reform standards in Indian jurisprudence.</w:t>
      </w:r>
    </w:p>
    <w:p w14:paraId="00000099" w14:textId="5081266F" w:rsidR="00487EAB" w:rsidRPr="004A62E6" w:rsidRDefault="00000000" w:rsidP="004A62E6">
      <w:pPr>
        <w:pStyle w:val="ListParagraph"/>
        <w:numPr>
          <w:ilvl w:val="0"/>
          <w:numId w:val="4"/>
        </w:numPr>
        <w:spacing w:before="280" w:line="360" w:lineRule="auto"/>
        <w:jc w:val="both"/>
        <w:rPr>
          <w:rFonts w:ascii="Garamond" w:eastAsia="EB Garamond" w:hAnsi="Garamond" w:cs="EB Garamond"/>
          <w:sz w:val="24"/>
          <w:szCs w:val="24"/>
        </w:rPr>
      </w:pPr>
      <w:r w:rsidRPr="004A62E6">
        <w:rPr>
          <w:rFonts w:ascii="Garamond" w:eastAsia="EB Garamond" w:hAnsi="Garamond" w:cs="EB Garamond"/>
          <w:sz w:val="24"/>
          <w:szCs w:val="24"/>
        </w:rPr>
        <w:t>Mithu v. State of Punjab (1983)</w:t>
      </w:r>
    </w:p>
    <w:p w14:paraId="0000009A" w14:textId="01CBCDBC" w:rsidR="00487EAB" w:rsidRPr="0073250D"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Section 303 of the Indian Penal Code mandated the death penalty for murder committed by a person already serving a life sentence. Mithu, a life convict, was convicted of murder while in prison and automatically sentenced to death without judicial discretion to impose other sentences. The Supreme Court struck down Section 303 as unconstitutional, holding that: (</w:t>
      </w:r>
      <w:r w:rsidR="00635CFF">
        <w:rPr>
          <w:rFonts w:ascii="Garamond" w:eastAsia="EB Garamond" w:hAnsi="Garamond" w:cs="EB Garamond"/>
          <w:sz w:val="24"/>
          <w:szCs w:val="24"/>
        </w:rPr>
        <w:t>i</w:t>
      </w:r>
      <w:r w:rsidRPr="0073250D">
        <w:rPr>
          <w:rFonts w:ascii="Garamond" w:eastAsia="EB Garamond" w:hAnsi="Garamond" w:cs="EB Garamond"/>
          <w:sz w:val="24"/>
          <w:szCs w:val="24"/>
        </w:rPr>
        <w:t>) Judicial Discretion Essential: Death penalty cannot be automatically mandated; courts must retain discretion to consider mitigating circumstances; (</w:t>
      </w:r>
      <w:r w:rsidR="00635CFF">
        <w:rPr>
          <w:rFonts w:ascii="Garamond" w:eastAsia="EB Garamond" w:hAnsi="Garamond" w:cs="EB Garamond"/>
          <w:sz w:val="24"/>
          <w:szCs w:val="24"/>
        </w:rPr>
        <w:t>ii</w:t>
      </w:r>
      <w:r w:rsidRPr="0073250D">
        <w:rPr>
          <w:rFonts w:ascii="Garamond" w:eastAsia="EB Garamond" w:hAnsi="Garamond" w:cs="EB Garamond"/>
          <w:sz w:val="24"/>
          <w:szCs w:val="24"/>
        </w:rPr>
        <w:t xml:space="preserve">) Article 21 Protection: The right to life under Article 21 includes the right to a fair trial with consideration of individual circumstances, not automatic punishment; </w:t>
      </w:r>
      <w:r w:rsidR="00635CFF">
        <w:rPr>
          <w:rFonts w:ascii="Garamond" w:eastAsia="EB Garamond" w:hAnsi="Garamond" w:cs="EB Garamond"/>
          <w:sz w:val="24"/>
          <w:szCs w:val="24"/>
        </w:rPr>
        <w:t>(iii</w:t>
      </w:r>
      <w:r w:rsidRPr="0073250D">
        <w:rPr>
          <w:rFonts w:ascii="Garamond" w:eastAsia="EB Garamond" w:hAnsi="Garamond" w:cs="EB Garamond"/>
          <w:sz w:val="24"/>
          <w:szCs w:val="24"/>
        </w:rPr>
        <w:t>) Arbitrariness Forbidden: Mandatory death sentences without judicial discretion are arbitrary and violate Article 14; (</w:t>
      </w:r>
      <w:r w:rsidR="00635CFF">
        <w:rPr>
          <w:rFonts w:ascii="Garamond" w:eastAsia="EB Garamond" w:hAnsi="Garamond" w:cs="EB Garamond"/>
          <w:sz w:val="24"/>
          <w:szCs w:val="24"/>
        </w:rPr>
        <w:t>iv</w:t>
      </w:r>
      <w:r w:rsidRPr="0073250D">
        <w:rPr>
          <w:rFonts w:ascii="Garamond" w:eastAsia="EB Garamond" w:hAnsi="Garamond" w:cs="EB Garamond"/>
          <w:sz w:val="24"/>
          <w:szCs w:val="24"/>
        </w:rPr>
        <w:t>) Proportionality Required: Punishment must be proportionate to the crime and the criminal's circumstances, not blindly automatic.</w:t>
      </w:r>
      <w:r w:rsidR="00341D33">
        <w:rPr>
          <w:rFonts w:ascii="Garamond" w:eastAsia="EB Garamond" w:hAnsi="Garamond" w:cs="EB Garamond"/>
          <w:sz w:val="24"/>
          <w:szCs w:val="24"/>
        </w:rPr>
        <w:t xml:space="preserve"> </w:t>
      </w:r>
      <w:r w:rsidRPr="0073250D">
        <w:rPr>
          <w:rFonts w:ascii="Garamond" w:eastAsia="EB Garamond" w:hAnsi="Garamond" w:cs="EB Garamond"/>
          <w:sz w:val="24"/>
          <w:szCs w:val="24"/>
        </w:rPr>
        <w:t>This landmark decision protected death row prisoners and established important principles: punishment cannot be automatic; courts must exercise discretion; and Article 21 protects not just life itself but the conditions and fairness of its deprivation. The judgment influenced subsequent death penalty jurisprudence and established that even serious crimes cannot result in mechanical punishment.</w:t>
      </w:r>
    </w:p>
    <w:p w14:paraId="0000009B" w14:textId="3FCBB222" w:rsidR="00487EAB" w:rsidRPr="004A62E6" w:rsidRDefault="00000000" w:rsidP="004A62E6">
      <w:pPr>
        <w:pStyle w:val="ListParagraph"/>
        <w:numPr>
          <w:ilvl w:val="0"/>
          <w:numId w:val="4"/>
        </w:numPr>
        <w:spacing w:before="240" w:after="240" w:line="360" w:lineRule="auto"/>
        <w:jc w:val="both"/>
        <w:rPr>
          <w:rFonts w:ascii="Garamond" w:eastAsia="EB Garamond" w:hAnsi="Garamond" w:cs="EB Garamond"/>
          <w:sz w:val="24"/>
          <w:szCs w:val="24"/>
        </w:rPr>
      </w:pPr>
      <w:r w:rsidRPr="004A62E6">
        <w:rPr>
          <w:rFonts w:ascii="Garamond" w:eastAsia="EB Garamond" w:hAnsi="Garamond" w:cs="EB Garamond"/>
          <w:sz w:val="24"/>
          <w:szCs w:val="24"/>
        </w:rPr>
        <w:t>M.H. Hoskot v</w:t>
      </w:r>
      <w:r w:rsidR="00635CFF" w:rsidRPr="004A62E6">
        <w:rPr>
          <w:rFonts w:ascii="Garamond" w:eastAsia="EB Garamond" w:hAnsi="Garamond" w:cs="EB Garamond"/>
          <w:sz w:val="24"/>
          <w:szCs w:val="24"/>
        </w:rPr>
        <w:t xml:space="preserve">. </w:t>
      </w:r>
      <w:r w:rsidRPr="004A62E6">
        <w:rPr>
          <w:rFonts w:ascii="Garamond" w:eastAsia="EB Garamond" w:hAnsi="Garamond" w:cs="EB Garamond"/>
          <w:sz w:val="24"/>
          <w:szCs w:val="24"/>
        </w:rPr>
        <w:t>State of Maharashtra (1978)</w:t>
      </w:r>
    </w:p>
    <w:p w14:paraId="0000009C" w14:textId="77777777" w:rsidR="00487EAB" w:rsidRDefault="00000000" w:rsidP="0073250D">
      <w:pPr>
        <w:spacing w:before="240" w:after="240" w:line="360" w:lineRule="auto"/>
        <w:jc w:val="both"/>
        <w:rPr>
          <w:rFonts w:ascii="Garamond" w:eastAsia="EB Garamond" w:hAnsi="Garamond" w:cs="EB Garamond"/>
          <w:sz w:val="24"/>
          <w:szCs w:val="24"/>
        </w:rPr>
      </w:pPr>
      <w:r w:rsidRPr="0073250D">
        <w:rPr>
          <w:rFonts w:ascii="Garamond" w:eastAsia="EB Garamond" w:hAnsi="Garamond" w:cs="EB Garamond"/>
          <w:sz w:val="24"/>
          <w:szCs w:val="24"/>
        </w:rPr>
        <w:t xml:space="preserve">M.H. Hoskot, a PhD holder, was convicted of forging counterfeit degrees under Sections 417, 467, 468, 471 and 511 of the IPC with a sentence of simple imprisonment. While dismissing his special leave petition against the sentence, the Supreme Court addressed critical issues regarding prisoner rights and legal aid. The Court held that there is a constitutional right to free legal aid and that free legal services at trial and appellate levels, where deprivation of life or personal liberty is at stake, are necessary components of procedural justice. The Court established that when a prisoner is disabled from engaging a lawyer due to indigence or incommunicado situations, the Court shall assign </w:t>
      </w:r>
      <w:r w:rsidRPr="0073250D">
        <w:rPr>
          <w:rFonts w:ascii="Garamond" w:eastAsia="EB Garamond" w:hAnsi="Garamond" w:cs="EB Garamond"/>
          <w:sz w:val="24"/>
          <w:szCs w:val="24"/>
        </w:rPr>
        <w:lastRenderedPageBreak/>
        <w:t xml:space="preserve">competent counsel provided circumstances justify it. This landmark ruling established the constitutional right of prisoners to free legal aid and reinforced their fundamental right to a fair trial, </w:t>
      </w:r>
      <w:r w:rsidRPr="00635CFF">
        <w:rPr>
          <w:rFonts w:ascii="Garamond" w:eastAsia="EB Garamond" w:hAnsi="Garamond" w:cs="EB Garamond"/>
          <w:sz w:val="24"/>
          <w:szCs w:val="24"/>
        </w:rPr>
        <w:t>becoming a cornerstone for subsequent legal reforms regarding</w:t>
      </w:r>
      <w:r w:rsidRPr="0073250D">
        <w:rPr>
          <w:rFonts w:ascii="Garamond" w:eastAsia="EB Garamond" w:hAnsi="Garamond" w:cs="EB Garamond"/>
          <w:sz w:val="24"/>
          <w:szCs w:val="24"/>
        </w:rPr>
        <w:t xml:space="preserve"> prisoner rights.</w:t>
      </w:r>
    </w:p>
    <w:p w14:paraId="01194F37" w14:textId="4A75F6C5" w:rsidR="004870CD" w:rsidRPr="004A62E6" w:rsidRDefault="000F4294" w:rsidP="004A62E6">
      <w:pPr>
        <w:pStyle w:val="ListParagraph"/>
        <w:numPr>
          <w:ilvl w:val="0"/>
          <w:numId w:val="4"/>
        </w:numPr>
        <w:spacing w:before="240" w:after="240" w:line="360" w:lineRule="auto"/>
        <w:jc w:val="both"/>
        <w:rPr>
          <w:rFonts w:ascii="Garamond" w:eastAsia="EB Garamond" w:hAnsi="Garamond" w:cs="EB Garamond"/>
          <w:sz w:val="24"/>
          <w:szCs w:val="24"/>
        </w:rPr>
      </w:pPr>
      <w:r w:rsidRPr="004A62E6">
        <w:rPr>
          <w:rFonts w:ascii="Garamond" w:eastAsia="EB Garamond" w:hAnsi="Garamond" w:cs="EB Garamond"/>
          <w:sz w:val="24"/>
          <w:szCs w:val="24"/>
        </w:rPr>
        <w:t xml:space="preserve">S.R. </w:t>
      </w:r>
      <w:proofErr w:type="spellStart"/>
      <w:r w:rsidRPr="004A62E6">
        <w:rPr>
          <w:rFonts w:ascii="Garamond" w:eastAsia="EB Garamond" w:hAnsi="Garamond" w:cs="EB Garamond"/>
          <w:sz w:val="24"/>
          <w:szCs w:val="24"/>
        </w:rPr>
        <w:t>Bommai</w:t>
      </w:r>
      <w:proofErr w:type="spellEnd"/>
      <w:r w:rsidRPr="004A62E6">
        <w:rPr>
          <w:rFonts w:ascii="Garamond" w:eastAsia="EB Garamond" w:hAnsi="Garamond" w:cs="EB Garamond"/>
          <w:sz w:val="24"/>
          <w:szCs w:val="24"/>
        </w:rPr>
        <w:t xml:space="preserve"> v. Union of India (1994)</w:t>
      </w:r>
    </w:p>
    <w:p w14:paraId="000000A0" w14:textId="0FF79182" w:rsidR="00487EAB" w:rsidRDefault="004870CD" w:rsidP="000F4294">
      <w:pPr>
        <w:spacing w:before="240" w:after="240" w:line="360" w:lineRule="auto"/>
        <w:jc w:val="both"/>
        <w:rPr>
          <w:rFonts w:ascii="Garamond" w:eastAsia="EB Garamond" w:hAnsi="Garamond" w:cs="EB Garamond"/>
          <w:sz w:val="24"/>
          <w:szCs w:val="24"/>
        </w:rPr>
      </w:pPr>
      <w:r>
        <w:rPr>
          <w:rFonts w:ascii="Garamond" w:eastAsia="EB Garamond" w:hAnsi="Garamond" w:cs="EB Garamond"/>
          <w:sz w:val="24"/>
          <w:szCs w:val="24"/>
        </w:rPr>
        <w:t xml:space="preserve">This landmark judgment was granted with the judicious objective to prevent the misuse of Art. 356 i.e. the President Rule and to maintain vibrant federalism in the country. The petitioner S.R. </w:t>
      </w:r>
      <w:proofErr w:type="spellStart"/>
      <w:r>
        <w:rPr>
          <w:rFonts w:ascii="Garamond" w:eastAsia="EB Garamond" w:hAnsi="Garamond" w:cs="EB Garamond"/>
          <w:sz w:val="24"/>
          <w:szCs w:val="24"/>
        </w:rPr>
        <w:t>Bommai’s</w:t>
      </w:r>
      <w:proofErr w:type="spellEnd"/>
      <w:r>
        <w:rPr>
          <w:rFonts w:ascii="Garamond" w:eastAsia="EB Garamond" w:hAnsi="Garamond" w:cs="EB Garamond"/>
          <w:sz w:val="24"/>
          <w:szCs w:val="24"/>
        </w:rPr>
        <w:t xml:space="preserve"> government in Karnataka was dismissed as several members defected from the Party in September 1998. His request to test the majority was denied by the governor and a President’s rule was imposed which was directly challe</w:t>
      </w:r>
      <w:r w:rsidR="005C5353">
        <w:rPr>
          <w:rFonts w:ascii="Garamond" w:eastAsia="EB Garamond" w:hAnsi="Garamond" w:cs="EB Garamond"/>
          <w:sz w:val="24"/>
          <w:szCs w:val="24"/>
        </w:rPr>
        <w:t xml:space="preserve">nged in the High Court of Karnataka however was later dismissed. An Appeal was then brought before the Supreme Court. Other cases from states such as </w:t>
      </w:r>
      <w:r w:rsidR="005C5353" w:rsidRPr="005C5353">
        <w:rPr>
          <w:rFonts w:ascii="Garamond" w:eastAsia="EB Garamond" w:hAnsi="Garamond" w:cs="EB Garamond"/>
          <w:sz w:val="24"/>
          <w:szCs w:val="24"/>
        </w:rPr>
        <w:t>Meghalaya, Nagaland, Madhya Pradesh, Rajasthan, and Himanchal Pradesh</w:t>
      </w:r>
      <w:r w:rsidR="005C5353">
        <w:rPr>
          <w:rFonts w:ascii="Garamond" w:eastAsia="EB Garamond" w:hAnsi="Garamond" w:cs="EB Garamond"/>
          <w:sz w:val="24"/>
          <w:szCs w:val="24"/>
        </w:rPr>
        <w:t xml:space="preserve"> with the same legal questions were clubbed together before the nine-judge bench of the Supreme Court. The Court </w:t>
      </w:r>
      <w:r w:rsidRPr="0073250D">
        <w:rPr>
          <w:rFonts w:ascii="Garamond" w:eastAsia="EB Garamond" w:hAnsi="Garamond" w:cs="EB Garamond"/>
          <w:sz w:val="24"/>
          <w:szCs w:val="24"/>
        </w:rPr>
        <w:t>held that the proclamation of President’s Rule under Article 356 is justiciable (i.e., subject to judicial review) and cannot be a completely unfettered power of the central government.</w:t>
      </w:r>
      <w:r w:rsidR="005C5353">
        <w:rPr>
          <w:rFonts w:ascii="Garamond" w:eastAsia="EB Garamond" w:hAnsi="Garamond" w:cs="EB Garamond"/>
          <w:sz w:val="24"/>
          <w:szCs w:val="24"/>
        </w:rPr>
        <w:t xml:space="preserve"> </w:t>
      </w:r>
    </w:p>
    <w:p w14:paraId="000000C4" w14:textId="77777777" w:rsidR="00487EAB" w:rsidRPr="0073250D" w:rsidRDefault="00487EAB" w:rsidP="0073250D">
      <w:pPr>
        <w:spacing w:before="240" w:after="120" w:line="360" w:lineRule="auto"/>
        <w:jc w:val="both"/>
        <w:rPr>
          <w:rFonts w:ascii="Garamond" w:eastAsia="EB Garamond" w:hAnsi="Garamond" w:cs="EB Garamond"/>
          <w:sz w:val="24"/>
          <w:szCs w:val="24"/>
        </w:rPr>
      </w:pPr>
    </w:p>
    <w:p w14:paraId="000000C5" w14:textId="77777777" w:rsidR="00487EAB" w:rsidRPr="0073250D" w:rsidRDefault="00487EAB" w:rsidP="0073250D">
      <w:pPr>
        <w:spacing w:line="360" w:lineRule="auto"/>
        <w:jc w:val="both"/>
        <w:rPr>
          <w:rFonts w:ascii="Garamond" w:eastAsia="EB Garamond" w:hAnsi="Garamond" w:cs="EB Garamond"/>
          <w:sz w:val="24"/>
          <w:szCs w:val="24"/>
        </w:rPr>
      </w:pPr>
    </w:p>
    <w:p w14:paraId="000000C6" w14:textId="77777777" w:rsidR="00487EAB" w:rsidRPr="0073250D" w:rsidRDefault="00487EAB" w:rsidP="0073250D">
      <w:pPr>
        <w:spacing w:before="240" w:after="240" w:line="360" w:lineRule="auto"/>
        <w:ind w:left="720"/>
        <w:jc w:val="both"/>
        <w:rPr>
          <w:rFonts w:ascii="Garamond" w:eastAsia="EB Garamond" w:hAnsi="Garamond" w:cs="EB Garamond"/>
          <w:sz w:val="24"/>
          <w:szCs w:val="24"/>
        </w:rPr>
      </w:pPr>
    </w:p>
    <w:p w14:paraId="000000C7" w14:textId="77777777" w:rsidR="00487EAB" w:rsidRPr="0073250D" w:rsidRDefault="00487EAB" w:rsidP="0073250D">
      <w:pPr>
        <w:spacing w:before="240" w:after="240" w:line="360" w:lineRule="auto"/>
        <w:jc w:val="both"/>
        <w:rPr>
          <w:rFonts w:ascii="Garamond" w:eastAsia="EB Garamond" w:hAnsi="Garamond" w:cs="EB Garamond"/>
          <w:sz w:val="24"/>
          <w:szCs w:val="24"/>
        </w:rPr>
      </w:pPr>
    </w:p>
    <w:p w14:paraId="000000C8" w14:textId="77777777" w:rsidR="00487EAB" w:rsidRDefault="00487EAB" w:rsidP="0073250D">
      <w:pPr>
        <w:spacing w:before="240" w:after="240" w:line="360" w:lineRule="auto"/>
        <w:jc w:val="both"/>
        <w:rPr>
          <w:rFonts w:ascii="Garamond" w:eastAsia="EB Garamond" w:hAnsi="Garamond" w:cs="EB Garamond"/>
          <w:sz w:val="24"/>
          <w:szCs w:val="24"/>
        </w:rPr>
      </w:pPr>
    </w:p>
    <w:p w14:paraId="40A14737" w14:textId="77777777" w:rsidR="0073250D" w:rsidRPr="0073250D" w:rsidRDefault="0073250D" w:rsidP="0073250D">
      <w:pPr>
        <w:spacing w:before="240" w:after="240" w:line="360" w:lineRule="auto"/>
        <w:jc w:val="both"/>
        <w:rPr>
          <w:rFonts w:ascii="Garamond" w:eastAsia="EB Garamond" w:hAnsi="Garamond" w:cs="EB Garamond"/>
          <w:sz w:val="24"/>
          <w:szCs w:val="24"/>
        </w:rPr>
      </w:pPr>
    </w:p>
    <w:sectPr w:rsidR="0073250D" w:rsidRPr="0073250D" w:rsidSect="0073250D">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FF7B05E2-BE17-4221-AE51-F0BA824A5E5B}"/>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2" w:fontKey="{0698BA33-F180-48FF-B91B-2BDDBAEDC78C}"/>
    <w:embedBold r:id="rId3" w:fontKey="{3C72AAE5-3DF1-4F65-BA6E-9B1B45A4DDA8}"/>
    <w:embedItalic r:id="rId4" w:fontKey="{C8F1A97B-65A2-462B-8395-46E0422A982C}"/>
    <w:embedBoldItalic r:id="rId5" w:fontKey="{148B6D71-71D3-45A4-A890-CD81864BC436}"/>
  </w:font>
  <w:font w:name="EB Garamond">
    <w:charset w:val="00"/>
    <w:family w:val="auto"/>
    <w:pitch w:val="variable"/>
    <w:sig w:usb0="E00002FF" w:usb1="02000413" w:usb2="00000000" w:usb3="00000000" w:csb0="0000019F" w:csb1="00000000"/>
    <w:embedRegular r:id="rId6" w:fontKey="{1265ACA8-CE37-42D7-9635-986890610DDB}"/>
    <w:embedBold r:id="rId7" w:fontKey="{A3AF1E1C-41F6-46F9-82B3-5FD972CB0BF4}"/>
    <w:embedItalic r:id="rId8" w:fontKey="{8F487299-FD4C-4308-AC1E-0E3412C6418D}"/>
    <w:embedBoldItalic r:id="rId9" w:fontKey="{E2F690BF-44FF-482A-BBB1-503785A62E21}"/>
  </w:font>
  <w:font w:name="Calibri">
    <w:panose1 w:val="020F0502020204030204"/>
    <w:charset w:val="00"/>
    <w:family w:val="swiss"/>
    <w:pitch w:val="variable"/>
    <w:sig w:usb0="E4002EFF" w:usb1="C200247B" w:usb2="00000009" w:usb3="00000000" w:csb0="000001FF" w:csb1="00000000"/>
    <w:embedRegular r:id="rId10" w:fontKey="{C0FB69EF-8553-436B-A709-748A7DA4D872}"/>
  </w:font>
  <w:font w:name="Cambria">
    <w:panose1 w:val="02040503050406030204"/>
    <w:charset w:val="00"/>
    <w:family w:val="roman"/>
    <w:pitch w:val="variable"/>
    <w:sig w:usb0="E00006FF" w:usb1="420024FF" w:usb2="02000000" w:usb3="00000000" w:csb0="0000019F" w:csb1="00000000"/>
    <w:embedRegular r:id="rId11" w:fontKey="{1138FD10-3C36-4C2E-96F1-DAC08A9E38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D1F1B"/>
    <w:multiLevelType w:val="multilevel"/>
    <w:tmpl w:val="EA58BF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F76096"/>
    <w:multiLevelType w:val="multilevel"/>
    <w:tmpl w:val="12D03DFE"/>
    <w:lvl w:ilvl="0">
      <w:start w:val="1"/>
      <w:numFmt w:val="bullet"/>
      <w:lvlText w:val=""/>
      <w:lvlJc w:val="left"/>
      <w:pPr>
        <w:ind w:left="720" w:hanging="360"/>
      </w:pPr>
      <w:rPr>
        <w:rFonts w:ascii="Georgia" w:eastAsia="Georgia" w:hAnsi="Georgia" w:cs="Georgia"/>
        <w:color w:val="1517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88459B"/>
    <w:multiLevelType w:val="multilevel"/>
    <w:tmpl w:val="2AAA118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50AF218E"/>
    <w:multiLevelType w:val="hybridMultilevel"/>
    <w:tmpl w:val="B3FEAF1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86074491">
    <w:abstractNumId w:val="1"/>
  </w:num>
  <w:num w:numId="2" w16cid:durableId="1858350910">
    <w:abstractNumId w:val="2"/>
  </w:num>
  <w:num w:numId="3" w16cid:durableId="427700084">
    <w:abstractNumId w:val="0"/>
  </w:num>
  <w:num w:numId="4" w16cid:durableId="19958347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EAB"/>
    <w:rsid w:val="000F4294"/>
    <w:rsid w:val="002664D7"/>
    <w:rsid w:val="00341D33"/>
    <w:rsid w:val="004870CD"/>
    <w:rsid w:val="00487EAB"/>
    <w:rsid w:val="004A62E6"/>
    <w:rsid w:val="004B2D32"/>
    <w:rsid w:val="004C4A98"/>
    <w:rsid w:val="00517C09"/>
    <w:rsid w:val="005A3740"/>
    <w:rsid w:val="005C5353"/>
    <w:rsid w:val="00635CFF"/>
    <w:rsid w:val="006F106D"/>
    <w:rsid w:val="0073250D"/>
    <w:rsid w:val="00A46E41"/>
    <w:rsid w:val="00CF2B9E"/>
    <w:rsid w:val="00CF76B3"/>
    <w:rsid w:val="00E92C1D"/>
    <w:rsid w:val="00F86D33"/>
    <w:rsid w:val="00FF2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B330A"/>
  <w15:docId w15:val="{D9AAF219-6F64-4AAF-8653-626A4093D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92C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27</Pages>
  <Words>9808</Words>
  <Characters>55909</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karishma ramchiary</cp:lastModifiedBy>
  <cp:revision>6</cp:revision>
  <dcterms:created xsi:type="dcterms:W3CDTF">2025-11-18T15:02:00Z</dcterms:created>
  <dcterms:modified xsi:type="dcterms:W3CDTF">2025-11-18T17:17:00Z</dcterms:modified>
</cp:coreProperties>
</file>