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4C5C"/>
          <w:sz w:val="44"/>
          <w:szCs w:val="44"/>
        </w:rPr>
        <w:t xml:space="preserve">Dari Clinic: Research Questions</w:t>
      </w:r>
    </w:p>
    <w:p>
      <w:pPr>
        <w:pBdr>
          <w:bottom w:val="single" w:color="0F4C5C" w:sz="8" w:space="6"/>
        </w:pBdr>
        <w:spacing w:after="300"/>
      </w:pPr>
      <w:r>
        <w:rPr>
          <w:i/>
          <w:iCs/>
          <w:color w:val="666666"/>
          <w:sz w:val="20"/>
          <w:szCs w:val="20"/>
        </w:rPr>
        <w:t xml:space="preserve">Small AI for Development Hackathon · Challenge 04 · Health track · 3 October 2026</w:t>
      </w:r>
    </w:p>
    <w:p>
      <w:pPr>
        <w:spacing w:after="140"/>
      </w:pPr>
      <w:r>
        <w:t xml:space="preserve">These are the research questions Dari Clinic needs to address, grouped by theme. Each row notes why the question matters (usually a judging criterion) and how it could be answered this weekend.</w:t>
      </w:r>
    </w:p>
    <w:p>
      <w:pPr>
        <w:spacing w:after="140"/>
      </w:pPr>
      <w:r>
        <w:rPr>
          <w:b/>
          <w:bCs/>
        </w:rPr>
        <w:t xml:space="preserve">How to read the tables. </w:t>
      </w:r>
      <w:r>
        <w:t xml:space="preserve">Shaded rows are Tier 1: they decide whether the entry passes the Responsible AI gate and whether the video's problem statement holds up. Unshaded rows are Tier 2 (they strengthen the entry). Tier 3 questions, such as long-term ministry acceptance, belong in the video's "what happens next" section rather than this weekend's build.</w:t>
      </w:r>
    </w:p>
    <w:p>
      <w:pPr>
        <w:pStyle w:val="Heading1"/>
      </w:pPr>
      <w:r>
        <w:t xml:space="preserve">1. Problem and context (Development relevance, 20%)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much of a frontline health worker's time goes to documentation, and which registers and forms do they fill in at a rural Ugandan health centre?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It's the evidence behind your one-sentence problem statement.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Service Delivery Indicators (Uganda) and DHS/Service Provision Assessment, plus Uganda MoH HMIS form documentation.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 the facility's record digital (DHIS2/eCHIS) or paper first, then transcribed to the monthly report?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It decides whether your output is a DHIS2 export or a digital copy of a paper register.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DHIS2 Uganda documentation, and mTrac's history of feeding DHIS2.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 currently does intake: the receptionist, a nurse, or nobody? How long does a patient wait, and how long is the consult?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It shows whether the intake mode saves real time or just adds a step.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Published time-motion studies of Ugandan primary care, plus SDI caseload data.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Users and workflow (Clarity, design and inclusivity, 15%)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Will patients speak symptoms aloud in a crowded waiting room?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This is the biggest privacy and adoption risk. Women, and anyone with stigmatized conditions (HIV, reproductive health), may not.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Published research on privacy and disclosure in African primary care. Test a quiet-corner or whisper-mode option.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Does the clinic actually have a shared Android phone or tablet, and who looks after it?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This is your "device the user already has" claim.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Uganda eCHIS and VHT device rollouts, plus SDI equipment data. If unclear, state it as an assumption.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comfortable are older and low-literacy patients with a recorded voice asking questions?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Inclusivity, and how well intake completes.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Quick remote tests with 3–5 Luganda speakers from different age groups, using your recorded prompts.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Does seeing the intake card first make the clinician anchor on what the patient said and skip their own questions?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Automation bias. Judges will ask whether the tool lowers the quality of care.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Penda's AI Consult write-up on keeping clinicians in control. Design the card to say "patient reported," never "findings."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Language and speech (Small AI fidelity,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word error rate do the best small Luganda speech models reach, and is it good enough for register fields?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Your core technical risk. Name the model and report its benchmark score.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Sunbird AI's published benchmarks (SALT), FLEURS Luganda, and your own test on 20–30 recorded clips.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How do patients actually talk about symptoms: in Luganda, in English medical words, or a mix?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Code-switching breaks most speech models.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Common Voice and Sunbird transcripts, plus your test recordings. Ask native speakers to role-play visits.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far does accuracy drop in Lusoga or another less-supported language?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brief says you'll be asked this.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Run the same test clips in Lusoga if speakers are available. Otherwise estimate from how much training data exists per language.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local illness terms don't map cleanly onto clinical categories?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Dari's original folk/TCM-terminology insight, applied to a new context.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Ethnographic literature on Luganda illness concepts, and native-speaker interviews.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AI behaviour and safety (Responsible AI, pass/fail)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Which danger signs should trigger "tell the nurse now," and from what authoritative source?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Inventing your own list fails the gate. It must come from guidelines.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WHO IMCI general danger signs, Uganda Clinical Guidelines, and WHO maternal danger signs.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 the model is wrong, which error is worse: a missed danger word or a false alarm? Where should the confidence threshold sit?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 missed danger sign is the worst possible failure. You need a calibrated, defensible threshold.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Test on a synthetic set with tricky phrasings. Report danger-word sensitivity separately from overall accuracy.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Which register fields can the AI fill, and which must a human always enter?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It defines the fixed list of answers and keeps you clear of diagnosis.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Map each register field. Anything implying a diagnosis or prescription stays clinician-entered, or is dictated and confirmed.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does the tool do when it understands nothing at all, such as a silent patient or a crying child?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"not sure, ask a person" path must cover total failure, not just low confidence.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Design review plus edge-case test clips.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Data, privacy and governance (Responsible AI and data grounding)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does Uganda's Data Protection and Privacy Act (2019) require for consent and storing health data?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brief asks where data sits, who can read it, and what happens when a phone is lost or shared.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Read the Act's provisions on health data. Design consent as a recorded spoken yes.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 an SMS to a shared household phone safe, and what's the minimum it can say?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Noor's household shares phones, so a diagnosis in an SMS is a disclosure risk.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Review mHealth privacy precedents (Mwana's results messaging). Default to only a date and the clinic's name.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training and test data is synthetic, and how will you label it?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brief requires synthetic data to be labelled, and "what your data doesn't cover" is scored.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Keep a data card for every dataset: source, licence, size, and gaps.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Technical feasibility (Small AI fidelity)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A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What's the total model size, RAM use and processing time on a mid-range Android?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rule about model files being small enough to side-load; you need a measured number.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Quantize the models and test on the cheapest Android your team has. Put the numbers in the video.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long can it run offline before records pile up, and how does sync handle conflicts?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It shows store-and-forward working.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Simulate offline days in the demo.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much battery does it use in a clinic with unreliable power?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 constraint health-sector judges will think of.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Measure battery drain from a morning of intake sessions.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Adoption and scale (Scalability, 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2700"/>
        <w:gridCol w:w="3110"/>
      </w:tblGrid>
      <w:tr>
        <w:trPr>
          <w:tblHeader/>
        </w:trP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0F4C5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answer this weekend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Would the Ministry of Health accept registers filled in with AI help? Who is accountable for an error?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brief says clinician trust and regulator acceptance "took years."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Use Penda's approvals (Kenya's ministry, Digital Health Agency, ethics board) as precedent. Name the equivalent Ugandan bodies as the next step.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would make clinicians actually use it?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Penda found that training and recognition for good use mattered.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Cite Penda's implementation lessons, and ask clinicians if you can reach any.</w:t>
            </w:r>
          </w:p>
        </w:tc>
      </w:tr>
      <w:tr>
        <w:tc>
          <w:tcPr>
            <w:tcW w:type="dxa" w:w="65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changes to move to another country: language, register schema, danger-sign list?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replicability story.</w:t>
            </w:r>
          </w:p>
        </w:tc>
        <w:tc>
          <w:tcPr>
            <w:tcW w:type="dxa" w:w="311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Write a short "country pack" spec: speech model, form mapping, guideline source.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to do first</w:t>
      </w:r>
    </w:p>
    <w:p>
      <w:pPr>
        <w:spacing w:after="140"/>
      </w:pPr>
      <w:r>
        <w:t xml:space="preserve">The 13 Tier 1 questions shape the video and the pass/fail standing: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1.1 and 1.2 ground the problem statement.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2.1 and 2.2 test the device and privacy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3.1 and 3.2 decide technical credibility.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4.1 to 4.3 and 5.1 to 5.2 secure the Responsible AI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6.1 is the one number judges will look for.</w:t>
      </w:r>
    </w:p>
    <w:p>
      <w:pPr>
        <w:spacing w:after="140"/>
      </w:pPr>
      <w:r>
        <w:t xml:space="preserve">Most can be answered from documents and the team's own test recordings. The fastest first-hand evidence would come from a few short calls with Ugandan nurses or clinical officers, using a cut-down version (about five questions) of Dari's existing clinician interview guide, focused on documentation burden, intake, and trust in AI.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Dari Clinic Research Questions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F4C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2026-10-03T20:35:24.963Z</dcterms:created>
  <dcterms:modified xsi:type="dcterms:W3CDTF">2026-10-03T20:35:24.969Z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