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4C5C"/>
          <w:sz w:val="44"/>
          <w:szCs w:val="44"/>
        </w:rPr>
        <w:t xml:space="preserve">Small AI for Development Hackathon</w:t>
      </w:r>
    </w:p>
    <w:p>
      <w:pPr>
        <w:spacing w:after="80"/>
      </w:pPr>
      <w:r>
        <w:rPr>
          <w:color w:val="333333"/>
          <w:sz w:val="28"/>
          <w:szCs w:val="28"/>
        </w:rPr>
        <w:t xml:space="preserve">Challenge 04: Landscape Review, Gap Analysis and Idea Scoring</w:t>
      </w:r>
    </w:p>
    <w:p>
      <w:pPr>
        <w:pBdr>
          <w:bottom w:val="single" w:color="0F4C5C" w:sz="8" w:space="6"/>
        </w:pBdr>
        <w:spacing w:after="300"/>
      </w:pPr>
      <w:r>
        <w:rPr>
          <w:i/>
          <w:iCs/>
          <w:color w:val="666666"/>
          <w:sz w:val="20"/>
          <w:szCs w:val="20"/>
        </w:rPr>
        <w:t xml:space="preserve">Hack-Nation × World Bank Youth Summit · Prepared 3 October 2026</w:t>
      </w:r>
    </w:p>
    <w:p>
      <w:pPr>
        <w:spacing w:after="140"/>
      </w:pPr>
      <w:r>
        <w:t xml:space="preserve">This document reviews the Challenge 04 brief, researches the cases it cites, maps what already exists in each sector (Health, Agriculture, Tourism), identifies gaps, and proposes and scores candidate ideas against the official judging rubric.</w:t>
      </w:r>
    </w:p>
    <w:p>
      <w:pPr>
        <w:pStyle w:val="Heading1"/>
      </w:pPr>
      <w:r>
        <w:t xml:space="preserve">1. The constraint the brief buries</w:t>
      </w:r>
    </w:p>
    <w:p>
      <w:pPr>
        <w:spacing w:after="140"/>
      </w:pPr>
      <w:r>
        <w:t xml:space="preserve">Noor's own phone is a basic phone she uses for calls, SMS and mobile money. She only uses the smartphone on weekends, when her daughter is home. The rules require the tool to run on a device the user already has, with model files small enough to side-load. That combination rules out most of today's on-device AI.</w:t>
      </w:r>
    </w:p>
    <w:p>
      <w:pPr>
        <w:spacing w:after="140"/>
      </w:pPr>
      <w:r>
        <w:t xml:space="preserve">Google's newest edge model, Gemma 4 E2B, runs offline on Android, but it loads into about 2.4 GB of RAM and needs a phone with at least 4 GB RAM and 3 GB free storage. A Ugandan-language fine-tune of it (Sunbird's Sunflower app) requires a flagship Android such as a Pixel 7 or Galaxy S22. Noor does not have that phone.</w:t>
      </w:r>
    </w:p>
    <w:p>
      <w:pPr>
        <w:spacing w:after="140"/>
      </w:pPr>
      <w:r>
        <w:t xml:space="preserve">The model to copy is Wadhwani AI's CottonAce, which the brief cites. To run on low-end phones, the team compressed its model from 268 MB to 5 MB and deployed it offline with PyTorch Mobile. Its distribution model matters too: each village has a lead farmer who relays the app's alerts to other farmers.</w:t>
      </w:r>
    </w:p>
    <w:p>
      <w:pPr>
        <w:spacing w:after="140"/>
      </w:pPr>
      <w:r>
        <w:rPr>
          <w:b/>
          <w:bCs/>
        </w:rPr>
        <w:t xml:space="preserve">Recommended architecture: hub and spokes. </w:t>
      </w:r>
      <w:r>
        <w:t xml:space="preserve">A tiny task-specific model runs on one shared intermediary device: the cooperative's lead farmer, the clinic nurse, or the tour guide. Noor reaches it through SMS, a voice call, or a weekend smartphone session. This answers the "device she already has" rule honestly instead of assuming she owns a smartphone.</w:t>
      </w:r>
    </w:p>
    <w:p>
      <w:pPr>
        <w:pStyle w:val="Heading1"/>
      </w:pPr>
      <w:r>
        <w:t xml:space="preserve">2. The second trap: could SMS do this?</w:t>
      </w:r>
    </w:p>
    <w:p>
      <w:pPr>
        <w:spacing w:after="140"/>
      </w:pPr>
      <w:r>
        <w:t xml:space="preserve">Every precedent in the brief shows plain SMS delivering big wins with no AI. Project Mwana cut the time to deliver infant HIV results from 66 days to 33 on average. With Uganda's mTrac, stock-outs of malaria drugs (ACTs) fell from 25.2% to 13.8%. Coffee price broadcasting by SMS has existed since at least 2008, when a UN pilot sent prices from five buyers to about 150 farmers.</w:t>
      </w:r>
    </w:p>
    <w:p>
      <w:pPr>
        <w:spacing w:after="140"/>
      </w:pPr>
      <w:r>
        <w:t xml:space="preserve">Judges will apply the brief's test directly, so the AI must do something SMS cannot. That means one of three things:</w:t>
      </w:r>
    </w:p>
    <w:p>
      <w:pPr>
        <w:pStyle w:val="ListParagraph"/>
        <w:numPr>
          <w:ilvl w:val="0"/>
          <w:numId w:val="2"/>
        </w:numPr>
        <w:spacing w:after="80"/>
      </w:pPr>
      <w:r>
        <w:t xml:space="preserve">understanding unstructured speech or text in a local language,</w:t>
      </w:r>
    </w:p>
    <w:p>
      <w:pPr>
        <w:pStyle w:val="ListParagraph"/>
        <w:numPr>
          <w:ilvl w:val="0"/>
          <w:numId w:val="2"/>
        </w:numPr>
        <w:spacing w:after="80"/>
      </w:pPr>
      <w:r>
        <w:t xml:space="preserve">reading an image, or</w:t>
      </w:r>
    </w:p>
    <w:p>
      <w:pPr>
        <w:pStyle w:val="ListParagraph"/>
        <w:numPr>
          <w:ilvl w:val="0"/>
          <w:numId w:val="2"/>
        </w:numPr>
        <w:spacing w:after="80"/>
      </w:pPr>
      <w:r>
        <w:t xml:space="preserve">making sense of a pile of scattered input.</w:t>
      </w:r>
    </w:p>
    <w:p>
      <w:pPr>
        <w:spacing w:after="140"/>
      </w:pPr>
      <w:r>
        <w:t xml:space="preserve">Pushing a fact out to people is not enough.</w:t>
      </w:r>
    </w:p>
    <w:p>
      <w:pPr>
        <w:pStyle w:val="Heading1"/>
      </w:pPr>
      <w:r>
        <w:t xml:space="preserve">3. Health (Annex A)</w:t>
      </w:r>
    </w:p>
    <w:p>
      <w:pPr>
        <w:pStyle w:val="Heading2"/>
      </w:pPr>
      <w:r>
        <w:t xml:space="preserve">What exists</w:t>
      </w:r>
    </w:p>
    <w:p>
      <w:pPr>
        <w:spacing w:after="140"/>
      </w:pPr>
      <w:r>
        <w:t xml:space="preserve">The strongest evidence in this sector is image screening. WHO's 2021 recommendation on computer-aided detection for TB chest X-rays was based on three products: CAD4TB, Lunit INSIGHT CXR and qXR. The brief deliberately puts imaging and diagnosis out of bounds, so that path is closed.</w:t>
      </w:r>
    </w:p>
    <w:p>
      <w:pPr>
        <w:spacing w:after="140"/>
      </w:pPr>
      <w:r>
        <w:t xml:space="preserve">The most relevant recent proof point is Penda Health's AI Consult in Nairobi. Clinicians using it made 16% fewer diagnostic errors and 13% fewer treatment errors, and history-taking errors fell by 32%. It runs on GPT-4o inside the electronic health record of urban clinics, so it depends on the cloud and existing infrastructure. IFC's TechEmerge Health paired 16 health-tech companies with 15 private providers in Kenya, Uganda and Ethiopia; the brief notes those tools still needed 2G/3G.</w:t>
      </w:r>
    </w:p>
    <w:p>
      <w:pPr>
        <w:pStyle w:val="Heading2"/>
      </w:pPr>
      <w:r>
        <w:t xml:space="preserve">Gaps</w:t>
      </w:r>
    </w:p>
    <w:p>
      <w:pPr>
        <w:spacing w:after="140"/>
      </w:pPr>
      <w:r>
        <w:t xml:space="preserve">Nothing comparable exists offline at a rural public clinic. The brief names burdensome record-keeping as the reason doctors cannot give each patient attention, and Penda's largest gain was in history-taking. Documentation is the clearest opportunity.</w:t>
      </w:r>
    </w:p>
    <w:p>
      <w:pPr>
        <w:pStyle w:val="Heading2"/>
      </w:pPr>
      <w:r>
        <w:t xml:space="preserve">Ideas</w:t>
      </w:r>
    </w:p>
    <w:p>
      <w:pPr>
        <w:pStyle w:val="Heading3"/>
      </w:pPr>
      <w:r>
        <w:t xml:space="preserve">H1: Offline voice-to-register scribe</w:t>
      </w:r>
    </w:p>
    <w:p>
      <w:pPr>
        <w:spacing w:after="140"/>
      </w:pPr>
      <w:r>
        <w:t xml:space="preserve">The clinician speaks the encounter in the local language. A small speech model (MMS) transcribes it, and a constrained extractor fills a fixed register form that matches a DHIS2 export. Any field the model is unsure of is flagged for the clinician to confirm. Records are stored on the phone and sent when a signal appears. The tool never diagnoses, so it stays inside the hard limits, and its fixed list of answers can be checked for safety.</w:t>
      </w:r>
    </w:p>
    <w:p>
      <w:pPr>
        <w:pStyle w:val="Heading3"/>
      </w:pPr>
      <w:r>
        <w:t xml:space="preserve">H2: Dari, localized</w:t>
      </w:r>
    </w:p>
    <w:p>
      <w:pPr>
        <w:spacing w:after="140"/>
      </w:pPr>
      <w:r>
        <w:t xml:space="preserve">Dari's guided intake already produces a plain summary for the patient and a SOAP note for the doctor, which maps onto the challenge's documentation, referral and follow-up examples. The intake would run in the waiting room on the clinic's phone, or through a voice callback to a basic phone, with the patient summary returned by SMS. Four changes would make it compliant:</w:t>
      </w:r>
    </w:p>
    <w:p>
      <w:pPr>
        <w:pStyle w:val="ListParagraph"/>
        <w:numPr>
          <w:ilvl w:val="0"/>
          <w:numId w:val="2"/>
        </w:numPr>
        <w:spacing w:after="80"/>
      </w:pPr>
      <w:r>
        <w:t xml:space="preserve">Swap cloud LLM translation for an on-device speech pipeline.</w:t>
      </w:r>
    </w:p>
    <w:p>
      <w:pPr>
        <w:pStyle w:val="ListParagraph"/>
        <w:numPr>
          <w:ilvl w:val="0"/>
          <w:numId w:val="2"/>
        </w:numPr>
        <w:spacing w:after="80"/>
      </w:pPr>
      <w:r>
        <w:t xml:space="preserve">Restrict outputs to what the patient reported.</w:t>
      </w:r>
    </w:p>
    <w:p>
      <w:pPr>
        <w:pStyle w:val="ListParagraph"/>
        <w:numPr>
          <w:ilvl w:val="0"/>
          <w:numId w:val="2"/>
        </w:numPr>
        <w:spacing w:after="80"/>
      </w:pPr>
      <w:r>
        <w:t xml:space="preserve">Add a red-flag rule that says "not sure, ask the nurse now."</w:t>
      </w:r>
    </w:p>
    <w:p>
      <w:pPr>
        <w:pStyle w:val="ListParagraph"/>
        <w:numPr>
          <w:ilvl w:val="0"/>
          <w:numId w:val="2"/>
        </w:numPr>
        <w:spacing w:after="80"/>
      </w:pPr>
      <w:r>
        <w:t xml:space="preserve">Answer the brief's data question: what happens when the phone is lost or shared.</w:t>
      </w:r>
    </w:p>
    <w:p>
      <w:pPr>
        <w:spacing w:after="140"/>
      </w:pPr>
      <w:r>
        <w:t xml:space="preserve">Moving Dari from LEP immigrants in Toronto to a rural clinic is itself a strong answer to "what does localizing AI mean to you."</w:t>
      </w:r>
    </w:p>
    <w:p>
      <w:pPr>
        <w:pStyle w:val="Heading1"/>
      </w:pPr>
      <w:r>
        <w:t xml:space="preserve">4. Agriculture (Annex B)</w:t>
      </w:r>
    </w:p>
    <w:p>
      <w:pPr>
        <w:pStyle w:val="Heading2"/>
      </w:pPr>
      <w:r>
        <w:t xml:space="preserve">What exists</w:t>
      </w:r>
    </w:p>
    <w:p>
      <w:pPr>
        <w:spacing w:after="140"/>
      </w:pPr>
      <w:r>
        <w:t xml:space="preserve">Coffee disease classifiers are a crowded space. Published apps exist, including a Rwandan one where DenseNet reached 99.57% training accuracy across four leaf classes. A plain rust classifier will not stand out.</w:t>
      </w:r>
    </w:p>
    <w:p>
      <w:pPr>
        <w:spacing w:after="140"/>
      </w:pPr>
      <w:r>
        <w:t xml:space="preserve">On markets, the Côte d'Ivoire e-Agriculture project reached more than 400,000 people through its Agristore marketplace. Pricing is still murky at the farm level: the farmgate price can sit far upstream of the exporter's FOB price, and the two do not necessarily move together.</w:t>
      </w:r>
    </w:p>
    <w:p>
      <w:pPr>
        <w:pStyle w:val="Heading2"/>
      </w:pPr>
      <w:r>
        <w:t xml:space="preserve">The timely gap: EUDR</w:t>
      </w:r>
    </w:p>
    <w:p>
      <w:pPr>
        <w:spacing w:after="140"/>
      </w:pPr>
      <w:r>
        <w:t xml:space="preserve">The EU Deforestation Regulation now applies from 30 December 2026 for medium and large operators. It requires geolocation of the specific plots where coffee was grown, and collecting plot boundaries from thousands of smallholders is field work, not a data request. Around 80% of the world's 25 million coffee farmers are smallholders. This connects to the brief's precondition that the missing farmer registry, not the missing algorithm, is the real bottleneck. Noor has been a cooperative member for 11 years, and cooperatives are the natural place for this work.</w:t>
      </w:r>
    </w:p>
    <w:p>
      <w:pPr>
        <w:pStyle w:val="Heading2"/>
      </w:pPr>
      <w:r>
        <w:t xml:space="preserve">Ideas</w:t>
      </w:r>
    </w:p>
    <w:p>
      <w:pPr>
        <w:pStyle w:val="Heading3"/>
      </w:pPr>
      <w:r>
        <w:t xml:space="preserve">A1: Cooperative field notebook</w:t>
      </w:r>
    </w:p>
    <w:p>
      <w:pPr>
        <w:spacing w:after="140"/>
      </w:pPr>
      <w:r>
        <w:t xml:space="preserve">The lead farmer's phone runs a small model trained on BRACOL to identify rust and leaf miner. It refuses to guess on blurry or non-coffee photos. Results roll up into a village outbreak map for the extension officer, the same early-warning loop CottonAce uses. It differs from existing classifiers by:</w:t>
      </w:r>
    </w:p>
    <w:p>
      <w:pPr>
        <w:pStyle w:val="ListParagraph"/>
        <w:numPr>
          <w:ilvl w:val="0"/>
          <w:numId w:val="2"/>
        </w:numPr>
        <w:spacing w:after="80"/>
      </w:pPr>
      <w:r>
        <w:t xml:space="preserve">abstaining when unsure,</w:t>
      </w:r>
    </w:p>
    <w:p>
      <w:pPr>
        <w:pStyle w:val="ListParagraph"/>
        <w:numPr>
          <w:ilvl w:val="0"/>
          <w:numId w:val="2"/>
        </w:numPr>
        <w:spacing w:after="80"/>
      </w:pPr>
      <w:r>
        <w:t xml:space="preserve">testing honestly on field photos (BRACOL and PlantDoc against PlantVillage), and</w:t>
      </w:r>
    </w:p>
    <w:p>
      <w:pPr>
        <w:pStyle w:val="ListParagraph"/>
        <w:numPr>
          <w:ilvl w:val="0"/>
          <w:numId w:val="2"/>
        </w:numPr>
        <w:spacing w:after="80"/>
      </w:pPr>
      <w:r>
        <w:t xml:space="preserve">adding rainfall (CHIRPS) and soil (iSDAsoil) context to the "why did my yield slip" question.</w:t>
      </w:r>
    </w:p>
    <w:p>
      <w:pPr>
        <w:pStyle w:val="Heading3"/>
      </w:pPr>
      <w:r>
        <w:t xml:space="preserve">A2: Parchment quality and price check</w:t>
      </w:r>
    </w:p>
    <w:p>
      <w:pPr>
        <w:spacing w:after="140"/>
      </w:pPr>
      <w:r>
        <w:t xml:space="preserve">Noor photographs a parchment sample. The AI counts visible defects, and the tool turns the result into an expected grade and price range she can quote when the buyer arrives. Be candid that moisture content cannot be judged reliably from a photo.</w:t>
      </w:r>
    </w:p>
    <w:p>
      <w:pPr>
        <w:pStyle w:val="Heading3"/>
      </w:pPr>
      <w:r>
        <w:t xml:space="preserve">A3: EUDR plot passport</w:t>
      </w:r>
    </w:p>
    <w:p>
      <w:pPr>
        <w:spacing w:after="140"/>
      </w:pPr>
      <w:r>
        <w:t xml:space="preserve">Voice-guided boundary walking in the local language, a satellite land-cover check, and an export-ready dossier. Development relevance is very high and the timing is ideal. The weak point is AI value, because much of this is GIS work; you would need to argue that the voice guidance and land-cover classification are what make it possible.</w:t>
      </w:r>
    </w:p>
    <w:p>
      <w:pPr>
        <w:pStyle w:val="Heading1"/>
      </w:pPr>
      <w:r>
        <w:t xml:space="preserve">5. Tourism (Annex C)</w:t>
      </w:r>
    </w:p>
    <w:p>
      <w:pPr>
        <w:pStyle w:val="Heading2"/>
      </w:pPr>
      <w:r>
        <w:t xml:space="preserve">What exists</w:t>
      </w:r>
    </w:p>
    <w:p>
      <w:pPr>
        <w:spacing w:after="140"/>
      </w:pPr>
      <w:r>
        <w:t xml:space="preserve">WhatsApp automation for tour operators is now a commodity. One SaaS product claims to save operators 1 to 2 hours a day, and AI booking agents for safari companies already exist. All of these assume an operator who is already online and working in English.</w:t>
      </w:r>
    </w:p>
    <w:p>
      <w:pPr>
        <w:spacing w:after="140"/>
      </w:pPr>
      <w:r>
        <w:t xml:space="preserve">World Bank support has gone into skills rather than tools. In Jordan, the Youth, Technology and Jobs project trained 1,621 people to work through digital platforms. In The Gambia, 62 tourism MSMEs completed a six-month capacity programme under the Tourism Diversification and Resilience project.</w:t>
      </w:r>
    </w:p>
    <w:p>
      <w:pPr>
        <w:pStyle w:val="Heading2"/>
      </w:pPr>
      <w:r>
        <w:t xml:space="preserve">Gap</w:t>
      </w:r>
    </w:p>
    <w:p>
      <w:pPr>
        <w:spacing w:after="140"/>
      </w:pPr>
      <w:r>
        <w:t xml:space="preserve">No tool serves an operator who works in her local language, has no digital listing, and relies on a human guide to translate. The brief says AI's value here is reading scattered reviews and messages, which small operators cannot analyse themselves. The guide is a stakeholder, so design them in rather than out.</w:t>
      </w:r>
    </w:p>
    <w:p>
      <w:pPr>
        <w:pStyle w:val="Heading2"/>
      </w:pPr>
      <w:r>
        <w:t xml:space="preserve">Ideas</w:t>
      </w:r>
    </w:p>
    <w:p>
      <w:pPr>
        <w:pStyle w:val="Heading3"/>
      </w:pPr>
      <w:r>
        <w:t xml:space="preserve">T1: Visitor Voice feedback loop</w:t>
      </w:r>
    </w:p>
    <w:p>
      <w:pPr>
        <w:spacing w:after="140"/>
      </w:pPr>
      <w:r>
        <w:t xml:space="preserve">Visitors leave voice or text feedback in any language through a QR code on the guide's phone. A small translation model plus theme clustering turns it into a weekly voice summary for Noor in her own language, for example: "Visitors loved the cupping. Three asked for lunch." This most closely matches the learning-from-feedback workflow the brief names.</w:t>
      </w:r>
    </w:p>
    <w:p>
      <w:pPr>
        <w:pStyle w:val="Heading3"/>
      </w:pPr>
      <w:r>
        <w:t xml:space="preserve">T2: Enquiry reply drafter</w:t>
      </w:r>
    </w:p>
    <w:p>
      <w:pPr>
        <w:spacing w:after="140"/>
      </w:pPr>
      <w:r>
        <w:t xml:space="preserve">An incoming message in French or German is sorted into a fixed list of intents (price, directions, booking, dietary) using the MASSIVE dataset. A reply is drafted from Noor's own fact sheet and read back to her in her language. Nothing is sent until she approves it.</w:t>
      </w:r>
    </w:p>
    <w:p>
      <w:pPr>
        <w:pStyle w:val="Heading3"/>
      </w:pPr>
      <w:r>
        <w:t xml:space="preserve">T3: Story-to-listing</w:t>
      </w:r>
    </w:p>
    <w:p>
      <w:pPr>
        <w:spacing w:after="140"/>
      </w:pPr>
      <w:r>
        <w:t xml:space="preserve">Noor records her farm story by voice, and the tool generates a multilingual listing and an OpenStreetMap point of interest. This is the weakest of the three, because the most valuable step only works with a connection.</w:t>
      </w:r>
    </w:p>
    <w:p>
      <w:pPr>
        <w:pStyle w:val="Heading1"/>
      </w:pPr>
      <w:r>
        <w:t xml:space="preserve">6. Scoring against the judging rubric</w:t>
      </w:r>
    </w:p>
    <w:p>
      <w:pPr>
        <w:spacing w:after="140"/>
      </w:pPr>
      <w:r>
        <w:t xml:space="preserve">Each idea is scored 1 to 5 on each weighted criterion from Section 09 of the brief. These are judgment calls; re-score them as a team. Responsible AI is pass/fail and is treated as a gate, not part of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1150"/>
        <w:gridCol w:w="900"/>
        <w:gridCol w:w="1050"/>
        <w:gridCol w:w="1050"/>
        <w:gridCol w:w="850"/>
        <w:gridCol w:w="1200"/>
      </w:tblGrid>
      <w:tr>
        <w:trPr>
          <w:tblHeader/>
        </w:trPr>
        <w:tc>
          <w:tcPr>
            <w:tcW w:type="dxa" w:w="21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Idea</w:t>
            </w:r>
          </w:p>
        </w:tc>
        <w:tc>
          <w:tcPr>
            <w:tcW w:type="dxa" w:w="10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Built 25%</w:t>
            </w:r>
          </w:p>
        </w:tc>
        <w:tc>
          <w:tcPr>
            <w:tcW w:type="dxa" w:w="115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Relevance 20%</w:t>
            </w:r>
          </w:p>
        </w:tc>
        <w:tc>
          <w:tcPr>
            <w:tcW w:type="dxa" w:w="9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Data 15%</w:t>
            </w:r>
          </w:p>
        </w:tc>
        <w:tc>
          <w:tcPr>
            <w:tcW w:type="dxa" w:w="105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Evidence 15%</w:t>
            </w:r>
          </w:p>
        </w:tc>
        <w:tc>
          <w:tcPr>
            <w:tcW w:type="dxa" w:w="105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AI value 15%</w:t>
            </w:r>
          </w:p>
        </w:tc>
        <w:tc>
          <w:tcPr>
            <w:tcW w:type="dxa" w:w="85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Scale 10%</w:t>
            </w:r>
          </w:p>
        </w:tc>
        <w:tc>
          <w:tcPr>
            <w:tcW w:type="dxa" w:w="12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Weighted</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H1 Voice scribe</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4.45</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T1 Visitor Voice</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4.40</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T2 Reply drafter</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4.25</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A1 Co-op notebook</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4.15</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H2 Dari, localized</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3.85</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A3 EUDR passport</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2</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3.60</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A2 Quality/price</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3.50</w:t>
            </w:r>
          </w:p>
        </w:tc>
      </w:tr>
      <w:tr>
        <w:tc>
          <w:tcPr>
            <w:tcW w:type="dxa" w:w="21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T3 Story-to-listing</w:t>
            </w:r>
          </w:p>
        </w:tc>
        <w:tc>
          <w:tcPr>
            <w:tcW w:type="dxa" w:w="10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1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9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10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85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12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bCs/>
                <w:sz w:val="19"/>
                <w:szCs w:val="19"/>
              </w:rPr>
              <w:t xml:space="preserve">3.35</w:t>
            </w:r>
          </w:p>
        </w:tc>
      </w:tr>
    </w:tbl>
    <w:p>
      <w:pPr>
        <w:spacing w:after="120"/>
      </w:pPr>
    </w:p>
    <w:p>
      <w:pPr>
        <w:spacing w:after="140"/>
      </w:pPr>
      <w:r>
        <w:t xml:space="preserve">Some ideas combine well. H1 and H2 form a single clinic flow: intake before the visit, then the scribe during it. T1 and T2 together cover the before and after of a visit for one operator.</w:t>
      </w:r>
    </w:p>
    <w:p>
      <w:pPr>
        <w:pStyle w:val="Heading1"/>
      </w:pPr>
      <w:r>
        <w:t xml:space="preserve">7. Scoring rationale</w:t>
      </w:r>
    </w:p>
    <w:p>
      <w:pPr>
        <w:spacing w:after="140"/>
      </w:pPr>
      <w:r>
        <w:rPr>
          <w:b/>
          <w:bCs/>
        </w:rPr>
        <w:t xml:space="preserve">Scale used. </w:t>
      </w:r>
      <w:r>
        <w:t xml:space="preserve">5 means it can clearly be demonstrated with what is available this weekend. 3 means plausible but resting on assumptions that cannot be tested yet. 1 to 2 means a judge is likely to push back. The weighted total is the sum of score × weight.</w:t>
      </w:r>
    </w:p>
    <w:p>
      <w:pPr>
        <w:pStyle w:val="Heading3"/>
      </w:pPr>
      <w:r>
        <w:t xml:space="preserve">H1 Voice-to-register scribe (4.45)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Speech recognition plus filling a fixed form can be demoed offline in a weekend. Not a 5 because local-language transcription with MMS is the shakiest link and the whole chain must run on a phone.</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brief names burdensome record-keeping outright and lists documentation in the challenge. Penda's biggest gain was a 32% drop in history-taking errors.</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Speech data (MMS, Common Voice), a target schema (DHIS2) and problem evidence (Service Delivery Indicators). Minus one: no open local-language clinical conversation corpus, so test encounters are synthetic.</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Field-level accuracy and flag rate can be measured; real clinic use cannot be shown.</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SMS cannot turn speech into a structured record.</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DHIS2 is used in more than 70 countries; a new country is mostly a schema swap.</w:t>
            </w:r>
          </w:p>
        </w:tc>
      </w:tr>
    </w:tbl>
    <w:p>
      <w:pPr>
        <w:spacing w:after="120"/>
      </w:pPr>
    </w:p>
    <w:p>
      <w:pPr>
        <w:pStyle w:val="Heading3"/>
      </w:pPr>
      <w:r>
        <w:t xml:space="preserve">T1 Visitor Voice (4.40)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Translation, theme clustering and summarizing are mature components and easy to demo.</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annex names this exact workflow. Not a 5 because the income benefit is indirect and comes later.</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Yelp review language, Wikivoyage, FLORES for translation testing. No real farm-tour reviews in target languages.</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Themes can be checked against a hand-labelled test set.</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No spreadsheet lets Noor read feedback in languages she does not speak. Caveat: at 6 to 7 visitors a month (about 80 reviews a season), be ready to justify the need, e.g. pooled feedback across guides and operators.</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Fits any small operator, such as homestays or artisans.</w:t>
            </w:r>
          </w:p>
        </w:tc>
      </w:tr>
    </w:tbl>
    <w:p>
      <w:pPr>
        <w:spacing w:after="120"/>
      </w:pPr>
    </w:p>
    <w:p>
      <w:pPr>
        <w:pStyle w:val="Heading3"/>
      </w:pPr>
      <w:r>
        <w:t xml:space="preserve">T2 Enquiry reply drafter (4.25)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 fixed set of intents is the simplest reliable build.</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Enquiries matter, but most visitors arrive by word of mouth with a guide; written enquiry volume is unclear.</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MASSIVE for intents, FLORES for translation.</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Intent accuracy can be measured on a held-out set.</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Automated WhatsApp replies already exist. The new part (local-language read-back, fixed fact sheet) is a smaller step.</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Reusable by any small operator.</w:t>
            </w:r>
          </w:p>
        </w:tc>
      </w:tr>
    </w:tbl>
    <w:p>
      <w:pPr>
        <w:spacing w:after="120"/>
      </w:pPr>
    </w:p>
    <w:p>
      <w:pPr>
        <w:pStyle w:val="Heading3"/>
      </w:pPr>
      <w:r>
        <w:t xml:space="preserve">A1 Co-op field notebook (4.15)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CottonAce shows a 5 MB offline image model is achievable and BRACOL is ready. Abstention calibration and field-photo performance take time.</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yield drop is in the scenario, but disease is only one possible cause, and the outbreak loop depends on an extension officer who visits twice a year.</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Richest dataset list in the brief. The PlantVillage vs. BRACOL/PlantDoc comparison is exactly the scored "what our data does not cover" item.</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Accuracy on held-out field images and abstention rate can be reported.</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Image recognition is genuine AI, but rust classifiers are crowded; the novelty is abstention and village roll-up.</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Other crops need retraining, and reach depends on a working registry.</w:t>
            </w:r>
          </w:p>
        </w:tc>
      </w:tr>
    </w:tbl>
    <w:p>
      <w:pPr>
        <w:spacing w:after="120"/>
      </w:pPr>
    </w:p>
    <w:p>
      <w:pPr>
        <w:pStyle w:val="Heading3"/>
      </w:pPr>
      <w:r>
        <w:t xml:space="preserve">H2 Dari, localized (3.85)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existing repo is a head start; moving to on-device offline speech is a substantial rework.</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Intake and referral are named in the challenge, but users are patients with low digital literacy, so adoption is a risk.</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Dari's data was built for Cantonese speakers and TCM terms in Canada; little matches a rural intake setting, so mostly synthetic.</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Hard to prove value without a real clinic workflow.</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 conversational intake producing two different summaries is clearly beyond SMS.</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Applicable to other clinics and languages with new data. Note: highest pass/fail risk, since patient health conversations can drift into triage.</w:t>
            </w:r>
          </w:p>
        </w:tc>
      </w:tr>
    </w:tbl>
    <w:p>
      <w:pPr>
        <w:spacing w:after="120"/>
      </w:pPr>
    </w:p>
    <w:p>
      <w:pPr>
        <w:pStyle w:val="Heading3"/>
      </w:pPr>
      <w:r>
        <w:t xml:space="preserve">A3 EUDR plot passport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Many parts (GPS capture, satellite check, dossier); offline satellite processing is hard.</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30 December 2026 deadline threatens market access and ties to the registry precondition.</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Sentinel-2 and Digital Earth Africa are available; ground truth is weak.</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Hard to prove in a weekend.</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2</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deciding weakness: mostly GIS and rules, so a simpler tool could do much of the job.</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Applies to all seven EUDR commodities in any country.</w:t>
            </w:r>
          </w:p>
        </w:tc>
      </w:tr>
    </w:tbl>
    <w:p>
      <w:pPr>
        <w:spacing w:after="120"/>
      </w:pPr>
    </w:p>
    <w:p>
      <w:pPr>
        <w:pStyle w:val="Heading3"/>
      </w:pPr>
      <w:r>
        <w:t xml:space="preserve">A2 Parchment quality and price check (3.50)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No parchment-defect dataset is listed; you would need to collect or synthesize one.</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5</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price problem appears word for word in the scenario.</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WFP prices cover staples, not parchment.</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Limited ability to validate grades against real buyer outcomes.</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price lookup is SMS-solvable; only defect counting is AI, and moisture is not visible in a photo.</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Transferable to other graded commodities.</w:t>
            </w:r>
          </w:p>
        </w:tc>
      </w:tr>
    </w:tbl>
    <w:p>
      <w:pPr>
        <w:spacing w:after="120"/>
      </w:pPr>
    </w:p>
    <w:p>
      <w:pPr>
        <w:pStyle w:val="Heading3"/>
      </w:pPr>
      <w:r>
        <w:t xml:space="preserve">T3 Story-to-listing (3.35)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Criterion</w:t>
            </w:r>
          </w:p>
        </w:tc>
        <w:tc>
          <w:tcPr>
            <w:tcW w:type="dxa" w:w="80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Score</w:t>
            </w:r>
          </w:p>
        </w:tc>
        <w:tc>
          <w:tcPr>
            <w:tcW w:type="dxa" w:w="6860"/>
            <w:tcBorders>
              <w:top w:val="single" w:color="BFC7D5" w:sz="4"/>
              <w:left w:val="single" w:color="BFC7D5" w:sz="4"/>
              <w:bottom w:val="single" w:color="BFC7D5" w:sz="4"/>
              <w:right w:val="single" w:color="BFC7D5" w:sz="4"/>
            </w:tcBorders>
            <w:shd w:fill="0F4C5C" w:color="auto" w:val="clear"/>
            <w:tcMar>
              <w:top w:type="dxa" w:w="80"/>
              <w:left w:type="dxa" w:w="110"/>
              <w:bottom w:type="dxa" w:w="80"/>
              <w:right w:type="dxa" w:w="110"/>
            </w:tcMar>
          </w:tcPr>
          <w:p>
            <w:r>
              <w:rPr>
                <w:b/>
                <w:bCs/>
                <w:color w:val="FFFFFF"/>
                <w:sz w:val="19"/>
                <w:szCs w:val="19"/>
              </w:rPr>
              <w:t xml:space="preserve">Why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Built</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Generating a listing is easy.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Relevance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The Jordan lesson was the missing listing and the skills to manage it; generating it once does not solve managing it.</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Data</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Wikivoyage and OSM help, but there is little to validate quality.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Evidence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Hard to show any effect on discoverability.</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AI value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3</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A template or helpful person could do much of this, and the useful step needs a connection.</w:t>
            </w:r>
          </w:p>
        </w:tc>
      </w:tr>
      <w:tr>
        <w:tc>
          <w:tcPr>
            <w:tcW w:type="dxa" w:w="170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Scale</w:t>
            </w:r>
          </w:p>
        </w:tc>
        <w:tc>
          <w:tcPr>
            <w:tcW w:type="dxa" w:w="800"/>
            <w:tcBorders>
              <w:top w:val="single" w:color="BFC7D5" w:sz="4"/>
              <w:left w:val="single" w:color="BFC7D5" w:sz="4"/>
              <w:bottom w:val="single" w:color="BFC7D5" w:sz="4"/>
              <w:right w:val="single" w:color="BFC7D5" w:sz="4"/>
            </w:tcBorders>
            <w:tcMar>
              <w:top w:type="dxa" w:w="80"/>
              <w:left w:type="dxa" w:w="110"/>
              <w:bottom w:type="dxa" w:w="80"/>
              <w:right w:type="dxa" w:w="110"/>
            </w:tcMar>
          </w:tcPr>
          <w:p>
            <w:pPr>
              <w:jc w:val="center"/>
            </w:pPr>
            <w:r>
              <w:rPr>
                <w:b w:val="false"/>
                <w:bCs w:val="false"/>
                <w:sz w:val="19"/>
                <w:szCs w:val="19"/>
              </w:rPr>
              <w:t xml:space="preserve">4</w:t>
            </w:r>
          </w:p>
        </w:tc>
        <w:tc>
          <w:tcPr>
            <w:tcW w:type="dxa" w:w="6860"/>
            <w:tcBorders>
              <w:top w:val="single" w:color="BFC7D5" w:sz="4"/>
              <w:left w:val="single" w:color="BFC7D5" w:sz="4"/>
              <w:bottom w:val="single" w:color="BFC7D5" w:sz="4"/>
              <w:right w:val="single" w:color="BFC7D5" w:sz="4"/>
            </w:tcBorders>
            <w:tcMar>
              <w:top w:type="dxa" w:w="80"/>
              <w:left w:type="dxa" w:w="110"/>
              <w:bottom w:type="dxa" w:w="80"/>
              <w:right w:type="dxa" w:w="110"/>
            </w:tcMar>
          </w:tcPr>
          <w:p>
            <w:r>
              <w:rPr>
                <w:b w:val="false"/>
                <w:bCs w:val="false"/>
                <w:sz w:val="19"/>
                <w:szCs w:val="19"/>
              </w:rPr>
              <w:t xml:space="preserve">Reusable for any small operator.</w:t>
            </w:r>
          </w:p>
        </w:tc>
      </w:tr>
    </w:tbl>
    <w:p>
      <w:pPr>
        <w:spacing w:after="120"/>
      </w:pPr>
    </w:p>
    <w:p>
      <w:pPr>
        <w:pStyle w:val="Heading2"/>
      </w:pPr>
      <w:r>
        <w:t xml:space="preserve">What would flip the ranking</w:t>
      </w:r>
    </w:p>
    <w:p>
      <w:pPr>
        <w:spacing w:after="140"/>
      </w:pPr>
      <w:r>
        <w:t xml:space="preserve">Built and Relevance together make up 45% of the score, so team skills matter most:</w:t>
      </w:r>
    </w:p>
    <w:p>
      <w:pPr>
        <w:pStyle w:val="ListParagraph"/>
        <w:numPr>
          <w:ilvl w:val="0"/>
          <w:numId w:val="2"/>
        </w:numPr>
        <w:spacing w:after="80"/>
      </w:pPr>
      <w:r>
        <w:rPr>
          <w:b/>
          <w:bCs/>
        </w:rPr>
        <w:t xml:space="preserve">Strong speech/ML engineer: </w:t>
      </w:r>
      <w:r>
        <w:t xml:space="preserve">H1 holds the top spot.</w:t>
      </w:r>
    </w:p>
    <w:p>
      <w:pPr>
        <w:pStyle w:val="ListParagraph"/>
        <w:numPr>
          <w:ilvl w:val="0"/>
          <w:numId w:val="2"/>
        </w:numPr>
        <w:spacing w:after="80"/>
      </w:pPr>
      <w:r>
        <w:rPr>
          <w:b/>
          <w:bCs/>
        </w:rPr>
        <w:t xml:space="preserve">Mostly design and no-code builders: </w:t>
      </w:r>
      <w:r>
        <w:t xml:space="preserve">T1 and T2 move ahead, because they are the most likely to work end to end.</w:t>
      </w:r>
    </w:p>
    <w:p>
      <w:pPr>
        <w:spacing w:after="140"/>
      </w:pPr>
      <w:r>
        <w:t xml:space="preserve">On the pass/fail gate, H2 and H1 carry the most risk and tourism carries the least.</w:t>
      </w:r>
    </w:p>
    <w:p>
      <w:pPr>
        <w:pStyle w:val="Heading1"/>
      </w:pPr>
      <w:r>
        <w:t xml:space="preserve">8. Must-haves for any entry</w:t>
      </w:r>
    </w:p>
    <w:p>
      <w:pPr>
        <w:pStyle w:val="ListParagraph"/>
        <w:numPr>
          <w:ilvl w:val="0"/>
          <w:numId w:val="2"/>
        </w:numPr>
        <w:spacing w:after="80"/>
      </w:pPr>
      <w:r>
        <w:t xml:space="preserve">Name the local language, and say how the tool would fare in a less-supported one.</w:t>
      </w:r>
    </w:p>
    <w:p>
      <w:pPr>
        <w:pStyle w:val="ListParagraph"/>
        <w:numPr>
          <w:ilvl w:val="0"/>
          <w:numId w:val="2"/>
        </w:numPr>
        <w:spacing w:after="80"/>
      </w:pPr>
      <w:r>
        <w:t xml:space="preserve">Include an explicit "what our data does not cover" section, which is scored.</w:t>
      </w:r>
    </w:p>
    <w:p>
      <w:pPr>
        <w:pStyle w:val="ListParagraph"/>
        <w:numPr>
          <w:ilvl w:val="0"/>
          <w:numId w:val="2"/>
        </w:numPr>
        <w:spacing w:after="80"/>
      </w:pPr>
      <w:r>
        <w:t xml:space="preserve">Show the "not sure, ask a person" path in the demo video itself.</w:t>
      </w:r>
    </w:p>
    <w:p>
      <w:pPr>
        <w:pStyle w:val="Heading1"/>
      </w:pPr>
      <w:r>
        <w:t xml:space="preserve">9. Sources</w:t>
      </w:r>
    </w:p>
    <w:p>
      <w:pPr>
        <w:pStyle w:val="ListParagraph"/>
        <w:numPr>
          <w:ilvl w:val="0"/>
          <w:numId w:val="2"/>
        </w:numPr>
        <w:spacing w:after="80"/>
      </w:pPr>
      <w:r>
        <w:t xml:space="preserve">Challenge 04 brief: HackNation_Debrief_04.pdf (Hack-Nation × World Bank Youth Summit)</w:t>
      </w:r>
    </w:p>
    <w:p>
      <w:pPr>
        <w:pStyle w:val="ListParagraph"/>
        <w:numPr>
          <w:ilvl w:val="0"/>
          <w:numId w:val="2"/>
        </w:numPr>
        <w:spacing w:after="80"/>
      </w:pPr>
      <w:r>
        <w:t xml:space="preserve">UNICEF, Project Mwana: unicef.org/innovation/stories/project-mwana</w:t>
      </w:r>
    </w:p>
    <w:p>
      <w:pPr>
        <w:pStyle w:val="ListParagraph"/>
        <w:numPr>
          <w:ilvl w:val="0"/>
          <w:numId w:val="2"/>
        </w:numPr>
        <w:spacing w:after="80"/>
      </w:pPr>
      <w:r>
        <w:t xml:space="preserve">Communication Initiative, Medicine Tracking System (mTrac): global.comminit.com/content/medicine-tracking-system-mtrac</w:t>
      </w:r>
    </w:p>
    <w:p>
      <w:pPr>
        <w:pStyle w:val="ListParagraph"/>
        <w:numPr>
          <w:ilvl w:val="0"/>
          <w:numId w:val="2"/>
        </w:numPr>
        <w:spacing w:after="80"/>
      </w:pPr>
      <w:r>
        <w:t xml:space="preserve">PLOS Global Public Health, Scanned: global investments in CAD and ultraportable X-ray for TB (PMC11913293)</w:t>
      </w:r>
    </w:p>
    <w:p>
      <w:pPr>
        <w:pStyle w:val="ListParagraph"/>
        <w:numPr>
          <w:ilvl w:val="0"/>
          <w:numId w:val="2"/>
        </w:numPr>
        <w:spacing w:after="80"/>
      </w:pPr>
      <w:r>
        <w:t xml:space="preserve">OpenAI, Pioneering an AI clinical copilot with Penda Health (July 2025); arXiv 2507.16947</w:t>
      </w:r>
    </w:p>
    <w:p>
      <w:pPr>
        <w:pStyle w:val="ListParagraph"/>
        <w:numPr>
          <w:ilvl w:val="0"/>
          <w:numId w:val="2"/>
        </w:numPr>
        <w:spacing w:after="80"/>
      </w:pPr>
      <w:r>
        <w:t xml:space="preserve">IFC, Building Africa's Health Resilience (TechEmerge Health East Africa), 2023</w:t>
      </w:r>
    </w:p>
    <w:p>
      <w:pPr>
        <w:pStyle w:val="ListParagraph"/>
        <w:numPr>
          <w:ilvl w:val="0"/>
          <w:numId w:val="2"/>
        </w:numPr>
        <w:spacing w:after="80"/>
      </w:pPr>
      <w:r>
        <w:t xml:space="preserve">Wadhwani AI, CottonAce; The Next Web, How AI is helping Indian cotton farmers (Oct 2020)</w:t>
      </w:r>
    </w:p>
    <w:p>
      <w:pPr>
        <w:pStyle w:val="ListParagraph"/>
        <w:numPr>
          <w:ilvl w:val="0"/>
          <w:numId w:val="2"/>
        </w:numPr>
        <w:spacing w:after="80"/>
      </w:pPr>
      <w:r>
        <w:t xml:space="preserve">World Bank, Côte d'Ivoire e-Agriculture results brief (March 2025)</w:t>
      </w:r>
    </w:p>
    <w:p>
      <w:pPr>
        <w:pStyle w:val="ListParagraph"/>
        <w:numPr>
          <w:ilvl w:val="0"/>
          <w:numId w:val="2"/>
        </w:numPr>
        <w:spacing w:after="80"/>
      </w:pPr>
      <w:r>
        <w:t xml:space="preserve">World Bank, AgriConnect (Jamaica feature, May 2026)</w:t>
      </w:r>
    </w:p>
    <w:p>
      <w:pPr>
        <w:pStyle w:val="ListParagraph"/>
        <w:numPr>
          <w:ilvl w:val="0"/>
          <w:numId w:val="2"/>
        </w:numPr>
        <w:spacing w:after="80"/>
      </w:pPr>
      <w:r>
        <w:t xml:space="preserve">Hitimana et al., Coffee leaf disease detection mobile app, MDPI Software 3(2), 2024</w:t>
      </w:r>
    </w:p>
    <w:p>
      <w:pPr>
        <w:pStyle w:val="ListParagraph"/>
        <w:numPr>
          <w:ilvl w:val="0"/>
          <w:numId w:val="2"/>
        </w:numPr>
        <w:spacing w:after="80"/>
      </w:pPr>
      <w:r>
        <w:t xml:space="preserve">Royal Coffee, Smallholder farmgate coffee pricing; kiwanja.net, FrontlineSMS coffee prices (2008)</w:t>
      </w:r>
    </w:p>
    <w:p>
      <w:pPr>
        <w:pStyle w:val="ListParagraph"/>
        <w:numPr>
          <w:ilvl w:val="0"/>
          <w:numId w:val="2"/>
        </w:numPr>
        <w:spacing w:after="80"/>
      </w:pPr>
      <w:r>
        <w:t xml:space="preserve">Koltiva, Polygon Quality Matters (EUDR, Regulation (EU) 2025/2650); OneStopESG EUDR checklist (Aug 2026)</w:t>
      </w:r>
    </w:p>
    <w:p>
      <w:pPr>
        <w:pStyle w:val="ListParagraph"/>
        <w:numPr>
          <w:ilvl w:val="0"/>
          <w:numId w:val="2"/>
        </w:numPr>
        <w:spacing w:after="80"/>
      </w:pPr>
      <w:r>
        <w:t xml:space="preserve">Global Coordination Financing Facility / Jordan News, Jordan Youth, Technology and Jobs project</w:t>
      </w:r>
    </w:p>
    <w:p>
      <w:pPr>
        <w:pStyle w:val="ListParagraph"/>
        <w:numPr>
          <w:ilvl w:val="0"/>
          <w:numId w:val="2"/>
        </w:numPr>
        <w:spacing w:after="80"/>
      </w:pPr>
      <w:r>
        <w:t xml:space="preserve">The Point (Gambia), TDRGP MSME accelerator coverage</w:t>
      </w:r>
    </w:p>
    <w:p>
      <w:pPr>
        <w:pStyle w:val="ListParagraph"/>
        <w:numPr>
          <w:ilvl w:val="0"/>
          <w:numId w:val="2"/>
        </w:numPr>
        <w:spacing w:after="80"/>
      </w:pPr>
      <w:r>
        <w:t xml:space="preserve">SunbirdAI sunflower-app (GitHub); EdSparkAI (GitHub); Gemma 4 release coverage (April 2026)</w:t>
      </w:r>
    </w:p>
    <w:p>
      <w:pPr>
        <w:pStyle w:val="ListParagraph"/>
        <w:numPr>
          <w:ilvl w:val="0"/>
          <w:numId w:val="2"/>
        </w:numPr>
        <w:spacing w:after="80"/>
      </w:pPr>
      <w:r>
        <w:t xml:space="preserve">Visito, BizBuySell and Zuru listings on WhatsApp tools for tour operators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Challenge 04 Landscape Review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4C5C"/>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6F8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2026-10-03T20:08:46.985Z</dcterms:created>
  <dcterms:modified xsi:type="dcterms:W3CDTF">2026-10-03T20:08:46.991Z</dcterms:modified>
</cp:coreProperties>
</file>

<file path=docProps/custom.xml><?xml version="1.0" encoding="utf-8"?>
<Properties xmlns="http://schemas.openxmlformats.org/officeDocument/2006/custom-properties" xmlns:vt="http://schemas.openxmlformats.org/officeDocument/2006/docPropsVTypes"/>
</file>