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AC20C" w14:textId="7132A5A8" w:rsidR="00F86816" w:rsidRPr="00184F3A" w:rsidRDefault="00D00978">
      <w:pPr>
        <w:rPr>
          <w:b/>
          <w:bCs/>
          <w:sz w:val="40"/>
          <w:szCs w:val="40"/>
          <w:u w:val="single"/>
        </w:rPr>
      </w:pPr>
      <w:r w:rsidRPr="00184F3A">
        <w:rPr>
          <w:b/>
          <w:bCs/>
          <w:sz w:val="40"/>
          <w:szCs w:val="40"/>
          <w:u w:val="single"/>
        </w:rPr>
        <w:t>ParkingManag</w:t>
      </w:r>
      <w:r w:rsidR="008F1D86" w:rsidRPr="00184F3A">
        <w:rPr>
          <w:b/>
          <w:bCs/>
          <w:sz w:val="40"/>
          <w:szCs w:val="40"/>
          <w:u w:val="single"/>
        </w:rPr>
        <w:t>e</w:t>
      </w:r>
      <w:r w:rsidRPr="00184F3A">
        <w:rPr>
          <w:b/>
          <w:bCs/>
          <w:sz w:val="40"/>
          <w:szCs w:val="40"/>
          <w:u w:val="single"/>
        </w:rPr>
        <w:t>ment</w:t>
      </w:r>
      <w:r w:rsidR="00184F3A">
        <w:rPr>
          <w:b/>
          <w:bCs/>
          <w:sz w:val="40"/>
          <w:szCs w:val="40"/>
          <w:u w:val="single"/>
        </w:rPr>
        <w:t xml:space="preserve"> - </w:t>
      </w:r>
      <w:r w:rsidRPr="00184F3A">
        <w:rPr>
          <w:b/>
          <w:bCs/>
          <w:sz w:val="40"/>
          <w:szCs w:val="40"/>
          <w:u w:val="single"/>
        </w:rPr>
        <w:t>SIW</w:t>
      </w:r>
    </w:p>
    <w:p w14:paraId="3A3563EB" w14:textId="36104430" w:rsidR="008F1D86" w:rsidRDefault="008F1D86">
      <w:r w:rsidRPr="008F1D86">
        <w:t xml:space="preserve">ParkingManagementSIW è un sistema software utilizzato </w:t>
      </w:r>
      <w:r>
        <w:t xml:space="preserve">dall’azienda Centro Commerciale per la gestione del servizio di </w:t>
      </w:r>
      <w:r w:rsidR="00716260">
        <w:t xml:space="preserve">tesseramento per il </w:t>
      </w:r>
      <w:r>
        <w:t xml:space="preserve">parcheggio </w:t>
      </w:r>
      <w:r w:rsidR="000A5409">
        <w:t xml:space="preserve">che </w:t>
      </w:r>
      <w:r>
        <w:t>off</w:t>
      </w:r>
      <w:r w:rsidR="000A5409">
        <w:t>re</w:t>
      </w:r>
      <w:r>
        <w:t xml:space="preserve"> ai propri dipendenti. Il sistema in particolare si occupa della gestione delle tessere associate ai dipendenti e di tutte le operazioni </w:t>
      </w:r>
      <w:r w:rsidR="000A5409">
        <w:t xml:space="preserve">effettuabili </w:t>
      </w:r>
      <w:r>
        <w:t>su di esse (emissione, ricarica/rinnovo, restituzione, danneggiamento, smarrimento).</w:t>
      </w:r>
    </w:p>
    <w:p w14:paraId="698E7F1F" w14:textId="11E64D4E" w:rsidR="008F1D86" w:rsidRPr="008F1D86" w:rsidRDefault="008F1D86">
      <w:r>
        <w:t>Le tessere possono essere di tre tipologie differenti: feriale, full, scalare. La tessera feriale abilita il dipendente a parcheggiare nei giorni settimanali eccetto per i festivi per la durata di un mese ed ha costo di 12</w:t>
      </w:r>
      <w:r w:rsidRPr="008F1D86">
        <w:t>€</w:t>
      </w:r>
      <w:r>
        <w:t>. La tessera full abilita il dipendente a parcheggiare in qualsiasi giorno (inclusi i festivi)</w:t>
      </w:r>
      <w:r w:rsidR="00C13FDF">
        <w:t xml:space="preserve"> per la durata di un mese</w:t>
      </w:r>
      <w:r>
        <w:t xml:space="preserve"> ed ha costo di 17</w:t>
      </w:r>
      <w:r w:rsidRPr="008F1D86">
        <w:t>€</w:t>
      </w:r>
      <w:r>
        <w:t xml:space="preserve">. La tessera scalare offre una totalità di 100 ore di posteggio al dipendente  spendibili </w:t>
      </w:r>
      <w:r w:rsidR="00C13FDF">
        <w:t xml:space="preserve">in qualsiasi momento </w:t>
      </w:r>
      <w:r>
        <w:t>ed ha costo di 9</w:t>
      </w:r>
      <w:r w:rsidRPr="008F1D86">
        <w:t>€</w:t>
      </w:r>
      <w:r>
        <w:t>.</w:t>
      </w:r>
    </w:p>
    <w:p w14:paraId="650FC963" w14:textId="7A625E0A" w:rsidR="00D00978" w:rsidRDefault="00D00978">
      <w:pPr>
        <w:rPr>
          <w:b/>
          <w:bCs/>
          <w:sz w:val="32"/>
          <w:szCs w:val="32"/>
          <w:u w:val="single"/>
        </w:rPr>
      </w:pPr>
      <w:r w:rsidRPr="00184F3A">
        <w:rPr>
          <w:b/>
          <w:bCs/>
          <w:sz w:val="32"/>
          <w:szCs w:val="32"/>
          <w:u w:val="single"/>
        </w:rPr>
        <w:t xml:space="preserve">Definizione </w:t>
      </w:r>
      <w:r w:rsidR="00184F3A" w:rsidRPr="00184F3A">
        <w:rPr>
          <w:b/>
          <w:bCs/>
          <w:sz w:val="32"/>
          <w:szCs w:val="32"/>
          <w:u w:val="single"/>
        </w:rPr>
        <w:t>dei c</w:t>
      </w:r>
      <w:r w:rsidRPr="00184F3A">
        <w:rPr>
          <w:b/>
          <w:bCs/>
          <w:sz w:val="32"/>
          <w:szCs w:val="32"/>
          <w:u w:val="single"/>
        </w:rPr>
        <w:t xml:space="preserve">asi </w:t>
      </w:r>
      <w:r w:rsidR="00184F3A" w:rsidRPr="00184F3A">
        <w:rPr>
          <w:b/>
          <w:bCs/>
          <w:sz w:val="32"/>
          <w:szCs w:val="32"/>
          <w:u w:val="single"/>
        </w:rPr>
        <w:t>d</w:t>
      </w:r>
      <w:r w:rsidRPr="00184F3A">
        <w:rPr>
          <w:b/>
          <w:bCs/>
          <w:sz w:val="32"/>
          <w:szCs w:val="32"/>
          <w:u w:val="single"/>
        </w:rPr>
        <w:t>’</w:t>
      </w:r>
      <w:r w:rsidR="00184F3A" w:rsidRPr="00184F3A">
        <w:rPr>
          <w:b/>
          <w:bCs/>
          <w:sz w:val="32"/>
          <w:szCs w:val="32"/>
          <w:u w:val="single"/>
        </w:rPr>
        <w:t>u</w:t>
      </w:r>
      <w:r w:rsidRPr="00184F3A">
        <w:rPr>
          <w:b/>
          <w:bCs/>
          <w:sz w:val="32"/>
          <w:szCs w:val="32"/>
          <w:u w:val="single"/>
        </w:rPr>
        <w:t>so</w:t>
      </w:r>
    </w:p>
    <w:p w14:paraId="3673196F" w14:textId="4C58D131" w:rsidR="00C13FDF" w:rsidRPr="00C13FDF" w:rsidRDefault="00C13FDF">
      <w:r w:rsidRPr="00C13FDF">
        <w:rPr>
          <w:b/>
          <w:bCs/>
          <w:sz w:val="24"/>
          <w:szCs w:val="24"/>
          <w:u w:val="single"/>
        </w:rPr>
        <w:t>Nota:</w:t>
      </w:r>
      <w:r>
        <w:rPr>
          <w:b/>
          <w:bCs/>
          <w:sz w:val="32"/>
          <w:szCs w:val="32"/>
          <w:u w:val="single"/>
        </w:rPr>
        <w:t xml:space="preserve"> </w:t>
      </w:r>
      <w:r w:rsidRPr="00C13FDF">
        <w:t xml:space="preserve">in tutti i casi d’uso se l’utente inserisce un numero di tessera non valido, ad esempio vuole emettere una tessera già presente </w:t>
      </w:r>
      <w:r>
        <w:t xml:space="preserve">nel sistema </w:t>
      </w:r>
      <w:r w:rsidRPr="00C13FDF">
        <w:t>o vuole segnalare il danneggiamento/smarrimento di una tessera non presente nel sistema,</w:t>
      </w:r>
      <w:r w:rsidRPr="00C13FDF">
        <w:rPr>
          <w:sz w:val="24"/>
          <w:szCs w:val="24"/>
        </w:rPr>
        <w:t xml:space="preserve"> </w:t>
      </w:r>
      <w:r w:rsidRPr="00C13FDF">
        <w:t>il sistema informerà l’utente dell’errore.</w:t>
      </w:r>
      <w:r w:rsidR="00F1054F">
        <w:t xml:space="preserve"> Anche nel caso dell’inserimento di un nuovo cliente nel sistema, il sistema notificherà l’utente qualora il cliente che si desidera creare fosse già presente nel sistema. </w:t>
      </w:r>
    </w:p>
    <w:p w14:paraId="461D77AF" w14:textId="66E1ED3A" w:rsidR="00D00978" w:rsidRPr="00184F3A" w:rsidRDefault="00D00978" w:rsidP="00D00978">
      <w:pPr>
        <w:rPr>
          <w:b/>
          <w:bCs/>
          <w:color w:val="000000" w:themeColor="text1"/>
          <w:u w:val="single"/>
        </w:rPr>
      </w:pPr>
      <w:r w:rsidRPr="00184F3A">
        <w:rPr>
          <w:b/>
          <w:bCs/>
          <w:color w:val="000000" w:themeColor="text1"/>
          <w:u w:val="single"/>
        </w:rPr>
        <w:t>UCD</w:t>
      </w:r>
      <w:r w:rsidR="00F1054F">
        <w:rPr>
          <w:b/>
          <w:bCs/>
          <w:color w:val="000000" w:themeColor="text1"/>
          <w:u w:val="single"/>
        </w:rPr>
        <w:t xml:space="preserve"> </w:t>
      </w:r>
      <w:r w:rsidRPr="00184F3A">
        <w:rPr>
          <w:b/>
          <w:bCs/>
          <w:color w:val="000000" w:themeColor="text1"/>
          <w:u w:val="single"/>
        </w:rPr>
        <w:t xml:space="preserve">1) </w:t>
      </w:r>
      <w:r w:rsidR="008F1D86" w:rsidRPr="00184F3A">
        <w:rPr>
          <w:b/>
          <w:bCs/>
          <w:color w:val="000000" w:themeColor="text1"/>
          <w:u w:val="single"/>
        </w:rPr>
        <w:t xml:space="preserve">Emissione </w:t>
      </w:r>
      <w:r w:rsidRPr="00184F3A">
        <w:rPr>
          <w:b/>
          <w:bCs/>
          <w:color w:val="000000" w:themeColor="text1"/>
          <w:u w:val="single"/>
        </w:rPr>
        <w:t>Tessera</w:t>
      </w:r>
    </w:p>
    <w:p w14:paraId="7E40741F" w14:textId="5D886225" w:rsidR="00D00978" w:rsidRDefault="00D00978" w:rsidP="00D00978">
      <w:r>
        <w:t>Attore primario: Utente</w:t>
      </w:r>
    </w:p>
    <w:p w14:paraId="47247761" w14:textId="6CAE823F" w:rsidR="00D00978" w:rsidRDefault="00D00978" w:rsidP="00D00978">
      <w:r>
        <w:t>Attore finale: Cliente</w:t>
      </w:r>
    </w:p>
    <w:p w14:paraId="487A6FCA" w14:textId="4509E3C9" w:rsidR="008F1D86" w:rsidRDefault="00716260" w:rsidP="00D00978">
      <w:r>
        <w:t xml:space="preserve">Il cliente vuole emettere una nuova tessera. </w:t>
      </w:r>
      <w:r w:rsidR="008F1D86">
        <w:t>L’utente inser</w:t>
      </w:r>
      <w:r w:rsidR="000A5409">
        <w:t>isce il numero della tessare da emettere. A seguito l’utente associa la tessera al cliente, se quest’ultimo è nuovo, l’ut</w:t>
      </w:r>
      <w:r w:rsidR="00FD32FD">
        <w:t>en</w:t>
      </w:r>
      <w:r w:rsidR="000A5409">
        <w:t>te lo deve registrare (e dunque inserire i suoi dati) nel sistema, altrimenti il cliente viene cercato tra quelli già presenti nel sistema.</w:t>
      </w:r>
      <w:r w:rsidR="00184F3A">
        <w:t xml:space="preserve"> Il cliente decide se pagare in contanti o con carta </w:t>
      </w:r>
      <w:r w:rsidR="00C13FDF">
        <w:t>. S</w:t>
      </w:r>
      <w:r w:rsidR="00184F3A">
        <w:t>e</w:t>
      </w:r>
      <w:r w:rsidR="00C13FDF">
        <w:t xml:space="preserve"> lo desidera,</w:t>
      </w:r>
      <w:r w:rsidR="00184F3A">
        <w:t xml:space="preserve"> Il cliente può </w:t>
      </w:r>
      <w:r w:rsidR="00C13FDF">
        <w:t xml:space="preserve">aggiungere i propri </w:t>
      </w:r>
      <w:r w:rsidR="00184F3A">
        <w:t xml:space="preserve">dati </w:t>
      </w:r>
      <w:r w:rsidR="00C13FDF">
        <w:t xml:space="preserve">per la </w:t>
      </w:r>
      <w:r w:rsidR="00184F3A">
        <w:t>fattura. L’utente conferma l’operazione.</w:t>
      </w:r>
    </w:p>
    <w:p w14:paraId="15501CD1" w14:textId="0CACB3D0" w:rsidR="00D00978" w:rsidRPr="00716260" w:rsidRDefault="00D00978" w:rsidP="00D00978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 w:rsidR="00716260">
        <w:rPr>
          <w:b/>
          <w:bCs/>
          <w:u w:val="single"/>
        </w:rPr>
        <w:t xml:space="preserve"> </w:t>
      </w:r>
      <w:r w:rsidRPr="00716260">
        <w:rPr>
          <w:b/>
          <w:bCs/>
          <w:u w:val="single"/>
        </w:rPr>
        <w:t xml:space="preserve">2) </w:t>
      </w:r>
      <w:r w:rsidR="008F1D86" w:rsidRPr="00716260">
        <w:rPr>
          <w:b/>
          <w:bCs/>
          <w:u w:val="single"/>
        </w:rPr>
        <w:t>R</w:t>
      </w:r>
      <w:r w:rsidR="000A5409" w:rsidRPr="00716260">
        <w:rPr>
          <w:b/>
          <w:bCs/>
          <w:u w:val="single"/>
        </w:rPr>
        <w:t>innovo</w:t>
      </w:r>
      <w:r w:rsidR="00716260">
        <w:rPr>
          <w:b/>
          <w:bCs/>
          <w:u w:val="single"/>
        </w:rPr>
        <w:t>/Ricarica</w:t>
      </w:r>
      <w:r w:rsidR="008F1D86" w:rsidRPr="00716260">
        <w:rPr>
          <w:b/>
          <w:bCs/>
          <w:u w:val="single"/>
        </w:rPr>
        <w:t xml:space="preserve"> </w:t>
      </w:r>
      <w:r w:rsidRPr="00716260">
        <w:rPr>
          <w:b/>
          <w:bCs/>
          <w:u w:val="single"/>
        </w:rPr>
        <w:t>Tessera</w:t>
      </w:r>
    </w:p>
    <w:p w14:paraId="398B4294" w14:textId="77777777" w:rsidR="00D00978" w:rsidRDefault="00D00978" w:rsidP="00D00978">
      <w:r>
        <w:t>Attore primario: Utente</w:t>
      </w:r>
    </w:p>
    <w:p w14:paraId="477DA0B6" w14:textId="66CD1F69" w:rsidR="00D00978" w:rsidRDefault="00D00978" w:rsidP="00D00978">
      <w:r>
        <w:t>Attore finale: Cliente</w:t>
      </w:r>
    </w:p>
    <w:p w14:paraId="361E55B3" w14:textId="05771842" w:rsidR="00FD32FD" w:rsidRDefault="00FD32FD" w:rsidP="00D00978">
      <w:r>
        <w:t>Il cliente vuole rinnovanare la sua tessera di un mese, se quest’ultima è di tipo “feriale”o “full”, o ricaricarla di cento ore, se di tipo “scalare”. L’utente inserisce il numero della tessera da rinnovare/ricaricare</w:t>
      </w:r>
      <w:r w:rsidR="00716260">
        <w:t>. L’utente conferma l’operazione.</w:t>
      </w:r>
    </w:p>
    <w:p w14:paraId="3D6E3659" w14:textId="48C019DB" w:rsidR="00D00978" w:rsidRPr="00716260" w:rsidRDefault="00D00978" w:rsidP="00D00978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 w:rsidR="00716260">
        <w:rPr>
          <w:b/>
          <w:bCs/>
          <w:u w:val="single"/>
        </w:rPr>
        <w:t xml:space="preserve"> </w:t>
      </w:r>
      <w:r w:rsidRPr="00716260">
        <w:rPr>
          <w:b/>
          <w:bCs/>
          <w:u w:val="single"/>
        </w:rPr>
        <w:t>3) Danneggiamento Tessera</w:t>
      </w:r>
    </w:p>
    <w:p w14:paraId="79BF3C8B" w14:textId="77777777" w:rsidR="00D00978" w:rsidRDefault="00D00978" w:rsidP="00D00978">
      <w:r>
        <w:t>Attore primario: Utente</w:t>
      </w:r>
    </w:p>
    <w:p w14:paraId="7ADC8AA1" w14:textId="05C08BC3" w:rsidR="00D00978" w:rsidRDefault="00D00978" w:rsidP="00D00978">
      <w:r>
        <w:t>Attore finale: Cliente</w:t>
      </w:r>
    </w:p>
    <w:p w14:paraId="17862F60" w14:textId="29539599" w:rsidR="00716260" w:rsidRDefault="00716260" w:rsidP="00716260">
      <w:r>
        <w:t xml:space="preserve">Il cliente </w:t>
      </w:r>
      <w:r>
        <w:t>segnala il danneggiamento del</w:t>
      </w:r>
      <w:r>
        <w:t>la sua tessera</w:t>
      </w:r>
      <w:r>
        <w:t xml:space="preserve">. </w:t>
      </w:r>
      <w:r>
        <w:t>L’utente inserisce il numero della tessera da</w:t>
      </w:r>
      <w:r>
        <w:t xml:space="preserve">nneggiata. </w:t>
      </w:r>
      <w:r>
        <w:t>L’utente conferma l’operazione.</w:t>
      </w:r>
      <w:r>
        <w:t xml:space="preserve"> Il cliente non riceve la cauzione della tessera.</w:t>
      </w:r>
    </w:p>
    <w:p w14:paraId="730184E2" w14:textId="6FA930C0" w:rsidR="00716260" w:rsidRPr="00716260" w:rsidRDefault="00716260" w:rsidP="00716260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>
        <w:rPr>
          <w:b/>
          <w:bCs/>
          <w:u w:val="single"/>
        </w:rPr>
        <w:t xml:space="preserve"> 4</w:t>
      </w:r>
      <w:r w:rsidRPr="00716260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>Smarri</w:t>
      </w:r>
      <w:r w:rsidRPr="00716260">
        <w:rPr>
          <w:b/>
          <w:bCs/>
          <w:u w:val="single"/>
        </w:rPr>
        <w:t>mento Tessera</w:t>
      </w:r>
    </w:p>
    <w:p w14:paraId="1C53D41B" w14:textId="77777777" w:rsidR="00716260" w:rsidRDefault="00716260" w:rsidP="00716260">
      <w:r>
        <w:t>Attore primario: Utente</w:t>
      </w:r>
    </w:p>
    <w:p w14:paraId="56FCC8FA" w14:textId="77777777" w:rsidR="00716260" w:rsidRDefault="00716260" w:rsidP="00716260">
      <w:r>
        <w:lastRenderedPageBreak/>
        <w:t>Attore finale: Cliente</w:t>
      </w:r>
    </w:p>
    <w:p w14:paraId="3AB70F5D" w14:textId="38855A5A" w:rsidR="00716260" w:rsidRDefault="00716260" w:rsidP="00716260">
      <w:r>
        <w:t xml:space="preserve">Il cliente segnala </w:t>
      </w:r>
      <w:r>
        <w:t>lo smarri</w:t>
      </w:r>
      <w:r>
        <w:t xml:space="preserve">mento della sua tessera. L’utente inserisce il numero della tessera </w:t>
      </w:r>
      <w:r>
        <w:t>smarri</w:t>
      </w:r>
      <w:r>
        <w:t>ta. L’utente conferma l’operazione. Il cliente non riceve la cauzione della tessera.</w:t>
      </w:r>
    </w:p>
    <w:p w14:paraId="4829065C" w14:textId="28BCD7A2" w:rsidR="00716260" w:rsidRPr="00716260" w:rsidRDefault="00716260" w:rsidP="00716260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>
        <w:rPr>
          <w:b/>
          <w:bCs/>
          <w:u w:val="single"/>
        </w:rPr>
        <w:t xml:space="preserve"> 5</w:t>
      </w:r>
      <w:r w:rsidRPr="00716260">
        <w:rPr>
          <w:b/>
          <w:bCs/>
          <w:u w:val="single"/>
        </w:rPr>
        <w:t xml:space="preserve">) </w:t>
      </w:r>
      <w:r>
        <w:rPr>
          <w:b/>
          <w:bCs/>
          <w:u w:val="single"/>
        </w:rPr>
        <w:t>Cancellazione operazione</w:t>
      </w:r>
    </w:p>
    <w:p w14:paraId="68E5C964" w14:textId="77777777" w:rsidR="00716260" w:rsidRDefault="00716260" w:rsidP="00716260">
      <w:r>
        <w:t>Attore primario: Utente</w:t>
      </w:r>
    </w:p>
    <w:p w14:paraId="526BF697" w14:textId="7F62491E" w:rsidR="00716260" w:rsidRDefault="00716260" w:rsidP="00716260">
      <w:r>
        <w:t xml:space="preserve">Attore finale: </w:t>
      </w:r>
      <w:r>
        <w:t>Cliente/Utente</w:t>
      </w:r>
    </w:p>
    <w:p w14:paraId="4A897CD1" w14:textId="42DE7EB0" w:rsidR="00716260" w:rsidRDefault="00716260" w:rsidP="00D00978">
      <w:r>
        <w:t>L’utente/cliente vuole annullare un’operazione effettuata in data odierna</w:t>
      </w:r>
      <w:r>
        <w:t>.</w:t>
      </w:r>
      <w:r>
        <w:t xml:space="preserve"> L</w:t>
      </w:r>
      <w:r>
        <w:t>’utente</w:t>
      </w:r>
      <w:r>
        <w:t xml:space="preserve"> seleziona l’opzione “cancella operazione” e seleziona il bottone di cancellazione per l’operazione che intende cancellare</w:t>
      </w:r>
      <w:r>
        <w:t xml:space="preserve">. </w:t>
      </w:r>
    </w:p>
    <w:p w14:paraId="057E5800" w14:textId="74589808" w:rsidR="00D00978" w:rsidRPr="00716260" w:rsidRDefault="00D00978" w:rsidP="00D00978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 w:rsidR="00716260">
        <w:rPr>
          <w:b/>
          <w:bCs/>
          <w:u w:val="single"/>
        </w:rPr>
        <w:t xml:space="preserve"> </w:t>
      </w:r>
      <w:r w:rsidR="00716260" w:rsidRPr="00716260">
        <w:rPr>
          <w:b/>
          <w:bCs/>
          <w:u w:val="single"/>
        </w:rPr>
        <w:t>6</w:t>
      </w:r>
      <w:r w:rsidRPr="00716260">
        <w:rPr>
          <w:b/>
          <w:bCs/>
          <w:u w:val="single"/>
        </w:rPr>
        <w:t xml:space="preserve">) </w:t>
      </w:r>
      <w:r w:rsidR="000A5409" w:rsidRPr="00716260">
        <w:rPr>
          <w:b/>
          <w:bCs/>
          <w:u w:val="single"/>
        </w:rPr>
        <w:t>Tessere Attive</w:t>
      </w:r>
    </w:p>
    <w:p w14:paraId="462AE44B" w14:textId="77777777" w:rsidR="00D00978" w:rsidRDefault="00D00978" w:rsidP="00D00978">
      <w:r>
        <w:t>Attore primario: Utente</w:t>
      </w:r>
    </w:p>
    <w:p w14:paraId="7684DF65" w14:textId="59EDC999" w:rsidR="00D00978" w:rsidRDefault="00D00978" w:rsidP="00D00978">
      <w:r>
        <w:t xml:space="preserve">Attore finale: </w:t>
      </w:r>
      <w:r w:rsidR="000A5409">
        <w:t>Utente</w:t>
      </w:r>
    </w:p>
    <w:p w14:paraId="6944DFCE" w14:textId="47F9E783" w:rsidR="000A5409" w:rsidRDefault="000A5409" w:rsidP="00D00978">
      <w:r>
        <w:t xml:space="preserve">L’utente vuole visualizzare tutte le tessere attive (dunque quelle emesse non scadute e che non siano </w:t>
      </w:r>
      <w:r w:rsidR="00C13FDF">
        <w:t xml:space="preserve">state </w:t>
      </w:r>
      <w:r>
        <w:t>smarrite o danneggiate o restituite). Dunque seleziona l’opzione “Tessere Attive”.</w:t>
      </w:r>
      <w:r w:rsidR="00716260">
        <w:t xml:space="preserve"> </w:t>
      </w:r>
    </w:p>
    <w:p w14:paraId="15A9DDA4" w14:textId="2F0BD78A" w:rsidR="000A5409" w:rsidRPr="00716260" w:rsidRDefault="000A5409" w:rsidP="000A5409">
      <w:pPr>
        <w:rPr>
          <w:b/>
          <w:bCs/>
          <w:u w:val="single"/>
        </w:rPr>
      </w:pPr>
      <w:r w:rsidRPr="00716260">
        <w:rPr>
          <w:b/>
          <w:bCs/>
          <w:u w:val="single"/>
        </w:rPr>
        <w:t>UCD</w:t>
      </w:r>
      <w:r w:rsidR="00716260" w:rsidRPr="00716260">
        <w:rPr>
          <w:b/>
          <w:bCs/>
          <w:u w:val="single"/>
        </w:rPr>
        <w:t xml:space="preserve"> 7</w:t>
      </w:r>
      <w:r w:rsidRPr="00716260">
        <w:rPr>
          <w:b/>
          <w:bCs/>
          <w:u w:val="single"/>
        </w:rPr>
        <w:t xml:space="preserve">) </w:t>
      </w:r>
      <w:r w:rsidR="00716260" w:rsidRPr="00716260">
        <w:rPr>
          <w:b/>
          <w:bCs/>
          <w:u w:val="single"/>
        </w:rPr>
        <w:t>Operazioni per data/periodo</w:t>
      </w:r>
    </w:p>
    <w:p w14:paraId="30A8AB8E" w14:textId="77777777" w:rsidR="000A5409" w:rsidRDefault="000A5409" w:rsidP="000A5409">
      <w:r>
        <w:t>Attore primario: Utente</w:t>
      </w:r>
    </w:p>
    <w:p w14:paraId="51CA2B4B" w14:textId="77777777" w:rsidR="000A5409" w:rsidRDefault="000A5409" w:rsidP="000A5409">
      <w:r>
        <w:t>Attore finale: Utente</w:t>
      </w:r>
    </w:p>
    <w:p w14:paraId="53EBCBBD" w14:textId="52E14FBD" w:rsidR="000A5409" w:rsidRDefault="000A5409" w:rsidP="000A5409">
      <w:r>
        <w:t xml:space="preserve">L’utente vuole visualizzare tutte le </w:t>
      </w:r>
      <w:r w:rsidR="00716260">
        <w:t>operazioni in un determinato periodo o quelle avvenute in un determinato giorno. L’utente dunque inserisce la data/periodo di interesse.</w:t>
      </w:r>
    </w:p>
    <w:p w14:paraId="3ECDB680" w14:textId="1052D457" w:rsidR="00C13FDF" w:rsidRPr="00716260" w:rsidRDefault="00C13FDF" w:rsidP="00C13FDF">
      <w:pPr>
        <w:rPr>
          <w:b/>
          <w:bCs/>
          <w:u w:val="single"/>
        </w:rPr>
      </w:pPr>
      <w:r w:rsidRPr="00716260">
        <w:rPr>
          <w:b/>
          <w:bCs/>
          <w:u w:val="single"/>
        </w:rPr>
        <w:t xml:space="preserve">UCD </w:t>
      </w:r>
      <w:r w:rsidR="00F1054F">
        <w:rPr>
          <w:b/>
          <w:bCs/>
          <w:u w:val="single"/>
        </w:rPr>
        <w:t>8</w:t>
      </w:r>
      <w:r w:rsidRPr="00716260">
        <w:rPr>
          <w:b/>
          <w:bCs/>
          <w:u w:val="single"/>
        </w:rPr>
        <w:t xml:space="preserve">) Operazioni per </w:t>
      </w:r>
      <w:r>
        <w:rPr>
          <w:b/>
          <w:bCs/>
          <w:u w:val="single"/>
        </w:rPr>
        <w:t>tessera</w:t>
      </w:r>
    </w:p>
    <w:p w14:paraId="74DF2DC1" w14:textId="77777777" w:rsidR="00C13FDF" w:rsidRDefault="00C13FDF" w:rsidP="00C13FDF">
      <w:r>
        <w:t>Attore primario: Utente</w:t>
      </w:r>
    </w:p>
    <w:p w14:paraId="30EB3C7A" w14:textId="2F23F3DD" w:rsidR="00C13FDF" w:rsidRDefault="00C13FDF" w:rsidP="00C13FDF">
      <w:r>
        <w:t>Attore finale: Utente</w:t>
      </w:r>
      <w:r>
        <w:t>/Cliente</w:t>
      </w:r>
    </w:p>
    <w:p w14:paraId="4B7BD56F" w14:textId="013B9F92" w:rsidR="00C13FDF" w:rsidRDefault="00C13FDF" w:rsidP="00C13FDF">
      <w:r>
        <w:t>L’utente</w:t>
      </w:r>
      <w:r>
        <w:t>/cliente</w:t>
      </w:r>
      <w:r>
        <w:t xml:space="preserve"> vuole visualizzare tutte le operazioni </w:t>
      </w:r>
      <w:r>
        <w:t>relative ad una determinata tessera</w:t>
      </w:r>
      <w:r>
        <w:t xml:space="preserve">. L’utente dunque inserisce </w:t>
      </w:r>
      <w:r>
        <w:t xml:space="preserve">il numero della tessera </w:t>
      </w:r>
      <w:r>
        <w:t>di interesse</w:t>
      </w:r>
      <w:r>
        <w:t xml:space="preserve"> e visualizza le operazioni che sono state effettuate su di essa.</w:t>
      </w:r>
    </w:p>
    <w:p w14:paraId="03ADD4EA" w14:textId="77777777" w:rsidR="00C13FDF" w:rsidRDefault="00C13FDF" w:rsidP="000A5409"/>
    <w:p w14:paraId="40D3BA96" w14:textId="77777777" w:rsidR="000A5409" w:rsidRDefault="000A5409" w:rsidP="00D00978"/>
    <w:p w14:paraId="0A06E925" w14:textId="77777777" w:rsidR="00D00978" w:rsidRDefault="00D00978" w:rsidP="00D00978"/>
    <w:p w14:paraId="38D2AE88" w14:textId="77777777" w:rsidR="00D00978" w:rsidRPr="000A5409" w:rsidRDefault="00D00978" w:rsidP="00D00978"/>
    <w:p w14:paraId="6613BFA9" w14:textId="77777777" w:rsidR="00D00978" w:rsidRPr="000A5409" w:rsidRDefault="00D00978"/>
    <w:sectPr w:rsidR="00D00978" w:rsidRPr="000A540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E75619"/>
    <w:multiLevelType w:val="hybridMultilevel"/>
    <w:tmpl w:val="AF480DF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27493"/>
    <w:multiLevelType w:val="hybridMultilevel"/>
    <w:tmpl w:val="D7EE6D00"/>
    <w:lvl w:ilvl="0" w:tplc="FB74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EA9D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BC0F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2409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C8D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6C8D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3074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1EC3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28C3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24679581">
    <w:abstractNumId w:val="0"/>
  </w:num>
  <w:num w:numId="2" w16cid:durableId="293561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D13"/>
    <w:rsid w:val="00023D13"/>
    <w:rsid w:val="000A5409"/>
    <w:rsid w:val="001734C0"/>
    <w:rsid w:val="00184F3A"/>
    <w:rsid w:val="00540868"/>
    <w:rsid w:val="00716260"/>
    <w:rsid w:val="008F1D86"/>
    <w:rsid w:val="00A12033"/>
    <w:rsid w:val="00A845DC"/>
    <w:rsid w:val="00B4119E"/>
    <w:rsid w:val="00B55AB6"/>
    <w:rsid w:val="00C13FDF"/>
    <w:rsid w:val="00C53659"/>
    <w:rsid w:val="00D00978"/>
    <w:rsid w:val="00E90C75"/>
    <w:rsid w:val="00F1054F"/>
    <w:rsid w:val="00F24F69"/>
    <w:rsid w:val="00F86816"/>
    <w:rsid w:val="00FD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446B4"/>
  <w15:chartTrackingRefBased/>
  <w15:docId w15:val="{0D5ECEFA-286A-4A63-8878-79F00D6EE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23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023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23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23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23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23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23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23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23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23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023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23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23D1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23D1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23D1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23D1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23D1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23D1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023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23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23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23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023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23D1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023D1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023D1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23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23D1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023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61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6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940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39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52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6119</TotalTime>
  <Pages>2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dolci</dc:creator>
  <cp:keywords/>
  <dc:description/>
  <cp:lastModifiedBy>isabella dolci</cp:lastModifiedBy>
  <cp:revision>3</cp:revision>
  <dcterms:created xsi:type="dcterms:W3CDTF">2025-05-09T13:09:00Z</dcterms:created>
  <dcterms:modified xsi:type="dcterms:W3CDTF">2025-06-23T13:44:00Z</dcterms:modified>
</cp:coreProperties>
</file>