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《常压冷等离子体活化水（PAW）技术》学习心得</w:t>
      </w:r>
    </w:p>
    <w:p>
      <w:r>
        <w:t>通过学习《常压冷等离子体活化水（PAW）技术：从等离子体物理到液体化学的跨尺度学习报告》，我对等离子体技术及其在农业、医疗、环境治理等领域的应用有了更加系统和深入的认识。报告从常压冷等离子体的物理本质出发，逐步介绍了活性氧氮物种（RONS）的产生机制、等离子体—液体界面反应过程以及PAW的制备与应用，构建了完整的知识体系，使我深刻感受到现代工程技术中多学科交叉融合的重要价值。</w:t>
        <w:br/>
        <w:br/>
        <w:t>首先，我对常压冷等离子体的“非平衡特性”有了更深刻的理解。过去我对等离子体的认识主要停留在“高温电离气体”的概念上，而报告指出，常压冷等离子体中的电子温度远高于离子和气体温度，因此能够在接近室温的条件下产生大量活性粒子。这种“选择性加热”机制既体现了等离子体物理的独特性，也为其在生物医学和农业等对温度敏感的领域应用提供了可能。这让我认识到，先进技术的发展往往依赖于对基础科学规律的深入理解。</w:t>
        <w:br/>
        <w:br/>
        <w:t>其次，PAW技术“将等离子体效应储存在水中”的思想给我留下了深刻印象。传统等离子体应用受限于作用距离短、活性物种寿命短以及设备必须现场部署等问题，而PAW利用水作为载体，将活性氧氮物种转化为较稳定的液相成分，实现了活性物种的长期保存和远距离输送。这种思路体现了工程技术中“问题导向”的创新精神，即通过改变介质和作用形式突破原有技术瓶颈。我认识到，真正有价值的技术创新不仅需要科学发现，更需要针对实际需求进行工程化设计。</w:t>
        <w:br/>
        <w:br/>
        <w:t>在学习PAW化学机理的过程中，我体会到了跨尺度研究的复杂性。从电子碰撞、电离与激发反应，到气液传质，再到液相中复杂的自由基反应网络，不同时间尺度和空间尺度上的过程共同决定了PAW的最终性质。特别是过氧亚硝酸盐（ONOO⁻）作为连接ROS和RNS反应链的重要节点，以及pH对各种活性物种转化路径的调控作用，使我认识到化学体系中各因素之间存在紧密耦合关系。这种复杂性也说明，现代科学研究越来越需要物理、化学、生物以及工程等多学科协同发展。</w:t>
        <w:br/>
        <w:br/>
        <w:t>此外，报告对PAW应用前景的介绍让我感受到其巨大的社会价值。在农业领域，PAW能够促进种子萌发、提高作物抗逆性，并有望部分替代传统氮肥；在医疗领域，其对多种病原菌具有高效灭活能力且不易产生耐药性；在环境治理方面，可用于降解难处理有机污染物；在绿色化工中，则展现出替代传统氧化剂的潜力。这些应用充分体现了PAW作为绿色技术的优势，也使我认识到科学技术的发展最终目标是服务社会、改善人类生活质量。</w:t>
        <w:br/>
        <w:br/>
        <w:t>同时，我也注意到PAW技术距离大规模产业化仍面临诸多挑战，例如作用机理尚未完全明确、缺乏统一标准、活性物种稳定性不足以及能效和规模化问题等。这些问题说明，一项新技术从实验室研究到实际应用需要经历长期的理论探索和工程优化过程。科研工作不仅要关注“能不能实现”，更要关注“如何高效稳定地实现”。</w:t>
        <w:br/>
        <w:br/>
        <w:t>通过本次学习，我不仅掌握了PAW技术的基本原理和发展现状，更深刻体会到基础研究与工程应用之间的紧密联系。未来，我希望能够继续加强对等离子体科学、界面化学以及先进能源与环境技术的学习，培养跨学科思维能力，努力将理论知识与实际问题相结合，为绿色低碳技术的发展贡献自己的力量。总体而言，PAW技术展现出的创新性、交叉性和应用前景让我受益匪浅，也进一步激发了我对前沿工程科技研究的兴趣。</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