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i w:val="0"/>
          <w:color w:val="000000"/>
          <w:sz w:val="48"/>
        </w:rPr>
        <w:t>Reporte técnico de cambios</w:t>
      </w:r>
    </w:p>
    <w:p>
      <w:pPr>
        <w:spacing w:after="360"/>
      </w:pPr>
      <w:r>
        <w:rPr>
          <w:rFonts w:ascii="Calibri" w:hAnsi="Calibri"/>
          <w:b w:val="0"/>
          <w:i w:val="0"/>
          <w:color w:val="606060"/>
          <w:sz w:val="28"/>
        </w:rPr>
        <w:t>Sistema de Almacén Croram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Cliente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Croram</w:t>
            </w:r>
          </w:p>
        </w:tc>
      </w:tr>
      <w:tr>
        <w:tc>
          <w:tcPr>
            <w:tcW w:type="dxa" w:w="2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Fecha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04/06/2026</w:t>
            </w:r>
          </w:p>
        </w:tc>
      </w:tr>
      <w:tr>
        <w:tc>
          <w:tcPr>
            <w:tcW w:type="dxa" w:w="2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Preparado por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Programador del sistema</w:t>
            </w:r>
          </w:p>
        </w:tc>
      </w:tr>
      <w:tr>
        <w:tc>
          <w:tcPr>
            <w:tcW w:type="dxa" w:w="2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Alcance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Cambios funcionales, validaciones, reportes y controles anti-duplicidad solicitados por el cliente.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color w:val="2E74B5"/>
        </w:rPr>
        <w:t>Resumen ejecutivo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Se realizó una intervención enfocada en mejorar la operación diaria del inventario: se reforzó el registro de salidas por area, se redujo el riesgo de ordenes duplicadas, se agregaron reportes operativos y se ajustó el cálculo de compras sugeridas. Los cambios se hicieron respetando la estructura actual del proyecto PHP procedural, sin introducir migraciones de base de datos ni dependencias externas nuevas.</w:t>
      </w:r>
    </w:p>
    <w:p>
      <w:pPr>
        <w:pStyle w:val="Heading1"/>
        <w:spacing w:before="280" w:after="120"/>
      </w:pPr>
      <w:r>
        <w:rPr>
          <w:rFonts w:ascii="Calibri" w:hAnsi="Calibri"/>
          <w:color w:val="2E74B5"/>
        </w:rPr>
        <w:t>Cambios implementados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0"/>
        <w:gridCol w:w="4660"/>
        <w:gridCol w:w="3000"/>
      </w:tblGrid>
      <w:tr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Modulo</w:t>
            </w:r>
          </w:p>
        </w:tc>
        <w:tc>
          <w:tcPr>
            <w:tcW w:type="dxa" w:w="46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Cambio implementado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Impacto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Menu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Se retiró Subfamilias del submenú Familias.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Reduce opciones duplicadas para el usuario final.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Salidas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Se sustituyó el filtro de Subfamilia por Area y se hizo obligatoria.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Permite registrar el gasto contra un centro de consumo.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Salidas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Se hizo obligatoria la observación de salida.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Asegura trazabilidad mínima del movimiento.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Ordenes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Se agregaron tokens de idempotencia y bloqueo de botones.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Evita duplicar ordenes por doble clic o reenvío accidental.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Backend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Se bloquearon ordenes con FOR UPDATE antes de aplicar inventario.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Una orden recibida o confirmada no puede volver a afectar existencias.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Entradas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El catálogo de productos muestra proveedor, fecha y precio de última compra.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Facilita capturar nuevas compras con referencia histórica.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Salidas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El detalle de salida muestra costo PEPS y total en pesos.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Deja visible el costo real asociado a la salida.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Reportes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Se agregaron detalle de entradas, detalle de salidas y consumos por area.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Cubre reportes solicitados de unidades, precios, observaciones y costo PEPS.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Inventario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Se reorganizó el reporte con saldo inicial, entradas, salidas y existencia.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Elimina la columna Movimientos y mejora lectura contable.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Compras sugeridas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Se ajustó el cálculo con consumo mensual / 30.4 * dias requeridos + tiempo de surtido.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El reporte vuelve a generar resultados cuando hay consumo configurado o histórico.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color w:val="2E74B5"/>
        </w:rPr>
        <w:t>Detalle técnico</w:t>
      </w:r>
    </w:p>
    <w:p>
      <w:pPr>
        <w:pStyle w:val="Heading2"/>
        <w:spacing w:before="200" w:after="120"/>
      </w:pPr>
      <w:r>
        <w:rPr>
          <w:rFonts w:ascii="Calibri" w:hAnsi="Calibri"/>
          <w:color w:val="2E74B5"/>
        </w:rPr>
        <w:t>Control de duplicidad y consistencia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Se agregaron tokens de solicitud en formularios de ordenes para identificar reenvíos de la misma operación.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Se deshabilitan botones de acción durante el procesamiento para evitar doble clic.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El backend valida el token y mantiene un historial corto en sesión para rechazar solicitudes repetidas.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Las acciones críticas de recibir entrada y aprobar salida bloquean la orden con SELECT ... FOR UPDATE antes de modificar inventario.</w:t>
      </w:r>
    </w:p>
    <w:p>
      <w:pPr>
        <w:pStyle w:val="Heading2"/>
        <w:spacing w:before="200" w:after="120"/>
      </w:pPr>
      <w:r>
        <w:rPr>
          <w:rFonts w:ascii="Calibri" w:hAnsi="Calibri"/>
          <w:color w:val="2E74B5"/>
        </w:rPr>
        <w:t>Salidas e inventario PEPS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Las salidas requieren area y observaciones antes de registrarse.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El costo PEPS calculado se conserva en el detalle de salida y se muestra en pantalla y reportes.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El total en pesos de una salida se calcula desde cantidad por costo PEPS.</w:t>
      </w:r>
    </w:p>
    <w:p>
      <w:pPr>
        <w:pStyle w:val="Heading2"/>
        <w:spacing w:before="200" w:after="120"/>
      </w:pPr>
      <w:r>
        <w:rPr>
          <w:rFonts w:ascii="Calibri" w:hAnsi="Calibri"/>
          <w:color w:val="2E74B5"/>
        </w:rPr>
        <w:t>Reportes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El reporte de inventario ahora presenta saldo inicial, entradas, salidas y existencia final.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Se agregaron reportes de detalle para entradas y salidas con unidades, precios, descripcion y totales.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Se agregó reporte de consumos por area y periodo con costo PEPS promedio y total.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La exportación a Excel se actualizó para incluir las nuevas columnas.</w:t>
      </w:r>
    </w:p>
    <w:p>
      <w:pPr>
        <w:pStyle w:val="Heading2"/>
        <w:spacing w:before="200" w:after="120"/>
      </w:pPr>
      <w:r>
        <w:rPr>
          <w:rFonts w:ascii="Calibri" w:hAnsi="Calibri"/>
          <w:color w:val="2E74B5"/>
        </w:rPr>
        <w:t>Compras sugeridas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El cálculo usa consumo mensual promedio dividido entre 30.4 y lo multiplica por dias de stock requeridos más tiempo de surtido.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Cuando no hay consumo histórico de 12 meses, el cálculo puede usar el consumo diario configurado en el artículo.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La pantalla mantiene un campo editable para confirmar, aumentar o disminuir el pedido sugerido.</w:t>
      </w:r>
    </w:p>
    <w:p>
      <w:pPr>
        <w:pStyle w:val="Heading1"/>
        <w:spacing w:before="280" w:after="120"/>
      </w:pPr>
      <w:r>
        <w:rPr>
          <w:rFonts w:ascii="Calibri" w:hAnsi="Calibri"/>
          <w:color w:val="2E74B5"/>
        </w:rPr>
        <w:t>Cambios no aplicados o condicionados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Limpieza total de codificación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Se corrigieron textos visibles en pantallas intervenidas. No se aplicó una conversión global agresiva porque el proyecto incluye muchas plantillas y librerías de terceros; hacerlo sin revisión visual podría introducir errores nuevos.</w:t>
            </w:r>
          </w:p>
        </w:tc>
      </w:tr>
      <w:tr>
        <w:tc>
          <w:tcPr>
            <w:tcW w:type="dxa" w:w="2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Saldo inicial real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No existe un campo histórico dedicado para saldo inicial. Se calculó como existencia actual menos entradas más salidas, usando los datos disponibles.</w:t>
            </w:r>
          </w:p>
        </w:tc>
      </w:tr>
      <w:tr>
        <w:tc>
          <w:tcPr>
            <w:tcW w:type="dxa" w:w="2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Kardex completo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El sistema ya cuenta con historial por artículo. Convertirlo en Kardex contable completo requiere definir formato final, reglas de saldo acumulado y si se debe persistir costo por movimiento.</w:t>
            </w:r>
          </w:p>
        </w:tc>
      </w:tr>
      <w:tr>
        <w:tc>
          <w:tcPr>
            <w:tcW w:type="dxa" w:w="2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Migración de seguridad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No se movieron credenciales ni contraseñas a un esquema nuevo porque no estaba dentro del alcance operativo inmediato. Se recomienda atenderlo como fase técnica independiente.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color w:val="2E74B5"/>
        </w:rPr>
        <w:t>Validación realizada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Se ejecutó validación de sintaxis PHP con PHP 8.3 de Laragon sobre los archivos propios del sistema.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Resultado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57 archivos PHP revisados sin errores de sintaxis.</w:t>
            </w:r>
          </w:p>
        </w:tc>
      </w:tr>
      <w:tr>
        <w:tc>
          <w:tcPr>
            <w:tcW w:type="dxa" w:w="2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Comando equivalente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php -l sobre archivos propios, excluyendo librerías vendor, FPDF y phpqrcode.</w:t>
            </w:r>
          </w:p>
        </w:tc>
      </w:tr>
      <w:tr>
        <w:tc>
          <w:tcPr>
            <w:tcW w:type="dxa" w:w="2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</w:rPr>
              <w:t>Riesgo residual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No se ejecutaron pruebas integradas contra base de datos productiva desde este entorno; la validación funcional final debe hacerse con usuarios y datos reales de Croram.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color w:val="2E74B5"/>
        </w:rPr>
        <w:t>Recomendaciones de siguiente fase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Crear una configuración de base de datos fuera del código fuente.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Migrar contraseñas de texto plano a password_hash/password_verify.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Convertir consultas sensibles a prepared statements de forma progresiva.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Definir formalmente el formato de Kardex para construir saldos acumulados y costos por movimiento.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</w:rPr>
        <w:t>Probar el flujo completo con una orden de entrada, una salida y una exportación de reportes usando datos reales.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6060"/>
        <w:sz w:val="18"/>
      </w:rPr>
      <w:t>Sistema de Almacén Croram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06060"/>
        <w:sz w:val="18"/>
      </w:rPr>
      <w:t>Croram | Reporte técnico de cambios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