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AI Policy</w:t>
      </w:r>
    </w:p>
    <w:p>
      <w:r>
        <w:t>This document outlines our company policy on AI tool usage.</w:t>
      </w:r>
    </w:p>
    <w:p>
      <w:r>
        <w:t>All AI-generated content must be reviewed by a human before publication.</w:t>
      </w:r>
    </w:p>
    <w:p>
      <w:r>
        <w:t>Employees must not share confidential data with external AI services.</w:t>
      </w:r>
    </w:p>
    <w:p>
      <w:r>
        <w:t>Approved AI tools include internal chatbots and summarization assistants.</w:t>
      </w:r>
    </w:p>
    <w:p>
      <w:r>
        <w:t>Violations of this policy will result in disciplinary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