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5E434" w14:textId="2E51A0FC" w:rsidR="3A3FF2F2" w:rsidRDefault="3A3FF2F2" w:rsidP="3A3FF2F2"/>
    <w:p w14:paraId="3B9C250B" w14:textId="0DBEAAFE" w:rsidR="3A3FF2F2" w:rsidRDefault="3A3FF2F2" w:rsidP="3A3FF2F2"/>
    <w:p w14:paraId="13F85435" w14:textId="19B5F91D" w:rsidR="1843860E" w:rsidRDefault="1843860E" w:rsidP="1843860E"/>
    <w:p w14:paraId="2AD79857" w14:textId="1FB20406" w:rsidR="1843860E" w:rsidRDefault="1843860E" w:rsidP="1843860E"/>
    <w:p w14:paraId="47D14D68" w14:textId="5FD26098" w:rsidR="7FF27B06" w:rsidRDefault="13E8C74C" w:rsidP="361BDF5F">
      <w:r>
        <w:rPr>
          <w:noProof/>
        </w:rPr>
        <w:drawing>
          <wp:anchor distT="0" distB="0" distL="114300" distR="114300" simplePos="0" relativeHeight="251658240" behindDoc="0" locked="0" layoutInCell="1" allowOverlap="1" wp14:anchorId="221E9986" wp14:editId="3DEB3F8E">
            <wp:simplePos x="0" y="0"/>
            <wp:positionH relativeFrom="column">
              <wp:align>right</wp:align>
            </wp:positionH>
            <wp:positionV relativeFrom="paragraph">
              <wp:posOffset>0</wp:posOffset>
            </wp:positionV>
            <wp:extent cx="5943600" cy="2933700"/>
            <wp:effectExtent l="0" t="0" r="0" b="0"/>
            <wp:wrapSquare wrapText="bothSides"/>
            <wp:docPr id="836211572" name="Picture 83621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14:sizeRelH relativeFrom="page">
              <wp14:pctWidth>0</wp14:pctWidth>
            </wp14:sizeRelH>
            <wp14:sizeRelV relativeFrom="page">
              <wp14:pctHeight>0</wp14:pctHeight>
            </wp14:sizeRelV>
          </wp:anchor>
        </w:drawing>
      </w:r>
    </w:p>
    <w:p w14:paraId="7F78B727" w14:textId="7793AB48" w:rsidR="1843860E" w:rsidRDefault="1843860E" w:rsidP="1843860E"/>
    <w:p w14:paraId="0B3AB705" w14:textId="6ECEC0E3" w:rsidR="361BDF5F" w:rsidRDefault="7DF06154" w:rsidP="1843860E">
      <w:pPr>
        <w:pStyle w:val="Heading3"/>
        <w:jc w:val="center"/>
        <w:rPr>
          <w:rFonts w:ascii="Times New Roman" w:eastAsia="Times New Roman" w:hAnsi="Times New Roman" w:cs="Times New Roman"/>
          <w:b/>
          <w:bCs/>
          <w:color w:val="000000" w:themeColor="text1"/>
          <w:sz w:val="32"/>
          <w:szCs w:val="32"/>
        </w:rPr>
      </w:pPr>
      <w:r w:rsidRPr="1843860E">
        <w:rPr>
          <w:rFonts w:ascii="Times New Roman" w:eastAsia="Times New Roman" w:hAnsi="Times New Roman" w:cs="Times New Roman"/>
          <w:b/>
          <w:bCs/>
          <w:color w:val="000000" w:themeColor="text1"/>
          <w:sz w:val="32"/>
          <w:szCs w:val="32"/>
        </w:rPr>
        <w:t>IE 3311</w:t>
      </w:r>
      <w:r w:rsidR="00AD0004">
        <w:rPr>
          <w:rFonts w:ascii="Times New Roman" w:eastAsia="Times New Roman" w:hAnsi="Times New Roman" w:cs="Times New Roman"/>
          <w:b/>
          <w:bCs/>
          <w:color w:val="000000" w:themeColor="text1"/>
          <w:sz w:val="32"/>
          <w:szCs w:val="32"/>
        </w:rPr>
        <w:t xml:space="preserve"> – Deterministic Operations Research</w:t>
      </w:r>
    </w:p>
    <w:p w14:paraId="11DF294C" w14:textId="225BCC72" w:rsidR="7FF27B06" w:rsidRDefault="42B0ADB1" w:rsidP="1843860E">
      <w:pPr>
        <w:pStyle w:val="Heading3"/>
        <w:spacing w:before="320"/>
        <w:jc w:val="center"/>
        <w:rPr>
          <w:rFonts w:ascii="Times New Roman" w:eastAsia="Times New Roman" w:hAnsi="Times New Roman" w:cs="Times New Roman"/>
          <w:b/>
          <w:bCs/>
          <w:color w:val="000000" w:themeColor="text1"/>
          <w:sz w:val="32"/>
          <w:szCs w:val="32"/>
        </w:rPr>
      </w:pPr>
      <w:bookmarkStart w:id="0" w:name="_Toc673718295"/>
      <w:r w:rsidRPr="1843860E">
        <w:rPr>
          <w:rFonts w:ascii="Times New Roman" w:eastAsia="Times New Roman" w:hAnsi="Times New Roman" w:cs="Times New Roman"/>
          <w:b/>
          <w:bCs/>
          <w:color w:val="000000" w:themeColor="text1"/>
          <w:sz w:val="32"/>
          <w:szCs w:val="32"/>
        </w:rPr>
        <w:t xml:space="preserve">Team </w:t>
      </w:r>
      <w:r w:rsidR="7FF27B06" w:rsidRPr="1843860E">
        <w:rPr>
          <w:rFonts w:ascii="Times New Roman" w:eastAsia="Times New Roman" w:hAnsi="Times New Roman" w:cs="Times New Roman"/>
          <w:b/>
          <w:bCs/>
          <w:color w:val="000000" w:themeColor="text1"/>
          <w:sz w:val="32"/>
          <w:szCs w:val="32"/>
        </w:rPr>
        <w:t>Optimum</w:t>
      </w:r>
      <w:bookmarkEnd w:id="0"/>
    </w:p>
    <w:p w14:paraId="0A24D43C" w14:textId="27463C1B" w:rsidR="7FF27B06" w:rsidRDefault="7FF27B06" w:rsidP="1843860E">
      <w:pPr>
        <w:spacing w:after="0"/>
        <w:jc w:val="center"/>
        <w:rPr>
          <w:rFonts w:ascii="Times New Roman" w:eastAsia="Times New Roman" w:hAnsi="Times New Roman" w:cs="Times New Roman"/>
          <w:color w:val="000000" w:themeColor="text1"/>
          <w:sz w:val="28"/>
          <w:szCs w:val="28"/>
        </w:rPr>
      </w:pPr>
      <w:r w:rsidRPr="1843860E">
        <w:rPr>
          <w:rFonts w:ascii="Times New Roman" w:eastAsia="Times New Roman" w:hAnsi="Times New Roman" w:cs="Times New Roman"/>
          <w:color w:val="000000" w:themeColor="text1"/>
          <w:sz w:val="28"/>
          <w:szCs w:val="28"/>
        </w:rPr>
        <w:t xml:space="preserve">Asif Ahmed, Emma Arthur, and Michelle Martinez </w:t>
      </w:r>
    </w:p>
    <w:p w14:paraId="0D857DC0" w14:textId="5C2BF8EE" w:rsidR="361BDF5F" w:rsidRDefault="361BDF5F" w:rsidP="361BDF5F">
      <w:pPr>
        <w:jc w:val="center"/>
      </w:pPr>
    </w:p>
    <w:p w14:paraId="13CBB7D3" w14:textId="1DFE326D" w:rsidR="361BDF5F" w:rsidRDefault="361BDF5F" w:rsidP="361BDF5F">
      <w:pPr>
        <w:jc w:val="center"/>
      </w:pPr>
    </w:p>
    <w:p w14:paraId="27E92CAB" w14:textId="3823E453" w:rsidR="361BDF5F" w:rsidRDefault="361BDF5F" w:rsidP="361BDF5F"/>
    <w:p w14:paraId="1E6C0B72" w14:textId="1B57F2C5" w:rsidR="553A1CF3" w:rsidRDefault="553A1CF3" w:rsidP="1843860E">
      <w:pPr>
        <w:pStyle w:val="Heading3"/>
        <w:spacing w:before="320"/>
      </w:pPr>
    </w:p>
    <w:p w14:paraId="14604733" w14:textId="77777777" w:rsidR="00E87CFC" w:rsidRPr="00E87CFC" w:rsidRDefault="00E87CFC" w:rsidP="00E87CFC"/>
    <w:p w14:paraId="7B06778D" w14:textId="53C29CB3" w:rsidR="553A1CF3" w:rsidRDefault="553A1CF3" w:rsidP="00AD0004">
      <w:pPr>
        <w:pStyle w:val="Heading3"/>
        <w:spacing w:before="320" w:line="480" w:lineRule="auto"/>
        <w:rPr>
          <w:rFonts w:ascii="Times New Roman" w:eastAsia="Times New Roman" w:hAnsi="Times New Roman" w:cs="Times New Roman"/>
          <w:b/>
          <w:bCs/>
          <w:color w:val="434343"/>
          <w:sz w:val="24"/>
          <w:szCs w:val="24"/>
        </w:rPr>
      </w:pPr>
      <w:bookmarkStart w:id="1" w:name="_Toc972372753"/>
      <w:r w:rsidRPr="1843860E">
        <w:rPr>
          <w:rFonts w:ascii="Times New Roman" w:eastAsia="Times New Roman" w:hAnsi="Times New Roman" w:cs="Times New Roman"/>
          <w:b/>
          <w:bCs/>
          <w:color w:val="434343"/>
          <w:sz w:val="24"/>
          <w:szCs w:val="24"/>
        </w:rPr>
        <w:lastRenderedPageBreak/>
        <w:t>Table of Contents</w:t>
      </w:r>
      <w:bookmarkEnd w:id="1"/>
    </w:p>
    <w:p w14:paraId="1A501DF5" w14:textId="74CE6AD2" w:rsidR="00E87CFC" w:rsidRDefault="00AD0004" w:rsidP="00AD0004">
      <w:pPr>
        <w:spacing w:line="480" w:lineRule="auto"/>
        <w:rPr>
          <w:rFonts w:ascii="Times New Roman" w:hAnsi="Times New Roman" w:cs="Times New Roman"/>
        </w:rPr>
      </w:pPr>
      <w:r w:rsidRPr="00AD0004">
        <w:rPr>
          <w:rFonts w:ascii="Times New Roman" w:hAnsi="Times New Roman" w:cs="Times New Roman"/>
        </w:rPr>
        <w:t>Introduction</w:t>
      </w:r>
      <w:r>
        <w:rPr>
          <w:rFonts w:ascii="Times New Roman" w:hAnsi="Times New Roman" w:cs="Times New Roman"/>
        </w:rPr>
        <w:t>………………………………………………………...…………...…………………3</w:t>
      </w:r>
    </w:p>
    <w:p w14:paraId="76E460C1" w14:textId="253804C1" w:rsidR="00AD0004" w:rsidRDefault="00AD0004" w:rsidP="00AD0004">
      <w:pPr>
        <w:spacing w:line="480" w:lineRule="auto"/>
        <w:rPr>
          <w:rFonts w:ascii="Times New Roman" w:hAnsi="Times New Roman" w:cs="Times New Roman"/>
        </w:rPr>
      </w:pPr>
      <w:r>
        <w:rPr>
          <w:rFonts w:ascii="Times New Roman" w:hAnsi="Times New Roman" w:cs="Times New Roman"/>
        </w:rPr>
        <w:t>Problem Statement...........................................................................................................................5</w:t>
      </w:r>
    </w:p>
    <w:p w14:paraId="7F696946" w14:textId="7F5CBA37" w:rsidR="00AD0004" w:rsidRDefault="00AD0004" w:rsidP="00AD0004">
      <w:pPr>
        <w:pStyle w:val="Heading3"/>
        <w:spacing w:line="480" w:lineRule="auto"/>
        <w:jc w:val="both"/>
        <w:rPr>
          <w:rFonts w:ascii="Times New Roman" w:eastAsia="Times New Roman" w:hAnsi="Times New Roman" w:cs="Times New Roman"/>
          <w:color w:val="auto"/>
          <w:sz w:val="24"/>
          <w:szCs w:val="24"/>
        </w:rPr>
      </w:pPr>
      <w:r w:rsidRPr="00AD0004">
        <w:rPr>
          <w:rFonts w:ascii="Times New Roman" w:eastAsia="Times New Roman" w:hAnsi="Times New Roman" w:cs="Times New Roman"/>
          <w:color w:val="auto"/>
          <w:sz w:val="24"/>
          <w:szCs w:val="24"/>
        </w:rPr>
        <w:t>Operations Research Model in Words &amp; Math</w:t>
      </w:r>
      <w:r>
        <w:rPr>
          <w:rFonts w:ascii="Times New Roman" w:eastAsia="Times New Roman" w:hAnsi="Times New Roman" w:cs="Times New Roman"/>
          <w:color w:val="auto"/>
          <w:sz w:val="24"/>
          <w:szCs w:val="24"/>
        </w:rPr>
        <w:t>.................................................................................5</w:t>
      </w:r>
    </w:p>
    <w:p w14:paraId="7EA86E61" w14:textId="149A6E97" w:rsidR="00AD0004" w:rsidRDefault="00AD0004" w:rsidP="00AD0004">
      <w:pPr>
        <w:pStyle w:val="Heading3"/>
        <w:spacing w:line="480" w:lineRule="auto"/>
        <w:rPr>
          <w:rFonts w:ascii="Times New Roman" w:eastAsia="Times New Roman" w:hAnsi="Times New Roman" w:cs="Times New Roman"/>
          <w:color w:val="auto"/>
          <w:sz w:val="24"/>
          <w:szCs w:val="24"/>
        </w:rPr>
      </w:pPr>
      <w:r w:rsidRPr="00AD0004">
        <w:rPr>
          <w:rFonts w:ascii="Times New Roman" w:eastAsia="Times New Roman" w:hAnsi="Times New Roman" w:cs="Times New Roman"/>
          <w:color w:val="auto"/>
          <w:sz w:val="24"/>
          <w:szCs w:val="24"/>
        </w:rPr>
        <w:t>Python/ Gurobi Code</w:t>
      </w:r>
      <w:r>
        <w:rPr>
          <w:rFonts w:ascii="Times New Roman" w:eastAsia="Times New Roman" w:hAnsi="Times New Roman" w:cs="Times New Roman"/>
          <w:color w:val="auto"/>
          <w:sz w:val="24"/>
          <w:szCs w:val="24"/>
        </w:rPr>
        <w:t>.......................................................................................................................6</w:t>
      </w:r>
    </w:p>
    <w:p w14:paraId="7EB1C000" w14:textId="4609B0A7" w:rsidR="00AD0004" w:rsidRDefault="00AD0004" w:rsidP="00AD0004">
      <w:pPr>
        <w:pStyle w:val="Heading3"/>
        <w:spacing w:line="480" w:lineRule="auto"/>
        <w:jc w:val="both"/>
        <w:rPr>
          <w:rFonts w:ascii="Times New Roman" w:eastAsia="Times New Roman" w:hAnsi="Times New Roman" w:cs="Times New Roman"/>
          <w:color w:val="auto"/>
          <w:sz w:val="24"/>
          <w:szCs w:val="24"/>
        </w:rPr>
      </w:pPr>
      <w:r w:rsidRPr="00AD0004">
        <w:rPr>
          <w:rFonts w:ascii="Times New Roman" w:eastAsia="Times New Roman" w:hAnsi="Times New Roman" w:cs="Times New Roman"/>
          <w:color w:val="auto"/>
          <w:sz w:val="24"/>
          <w:szCs w:val="24"/>
        </w:rPr>
        <w:t>Proposed Solution</w:t>
      </w:r>
      <w:r>
        <w:rPr>
          <w:rFonts w:ascii="Times New Roman" w:eastAsia="Times New Roman" w:hAnsi="Times New Roman" w:cs="Times New Roman"/>
          <w:color w:val="auto"/>
          <w:sz w:val="24"/>
          <w:szCs w:val="24"/>
        </w:rPr>
        <w:t>............................................................................................................................6</w:t>
      </w:r>
    </w:p>
    <w:p w14:paraId="0A6AE963" w14:textId="0984B393" w:rsidR="00AD0004" w:rsidRDefault="00AD0004" w:rsidP="00AD0004">
      <w:pPr>
        <w:pStyle w:val="Heading3"/>
        <w:spacing w:line="480" w:lineRule="auto"/>
        <w:rPr>
          <w:rFonts w:ascii="Times New Roman" w:eastAsia="Times New Roman" w:hAnsi="Times New Roman" w:cs="Times New Roman"/>
          <w:color w:val="auto"/>
          <w:sz w:val="24"/>
          <w:szCs w:val="24"/>
        </w:rPr>
      </w:pPr>
      <w:r w:rsidRPr="00AD0004">
        <w:rPr>
          <w:rFonts w:ascii="Times New Roman" w:eastAsia="Times New Roman" w:hAnsi="Times New Roman" w:cs="Times New Roman"/>
          <w:color w:val="auto"/>
          <w:sz w:val="24"/>
          <w:szCs w:val="24"/>
        </w:rPr>
        <w:t>Experiment Discussion</w:t>
      </w:r>
      <w:r>
        <w:rPr>
          <w:rFonts w:ascii="Times New Roman" w:eastAsia="Times New Roman" w:hAnsi="Times New Roman" w:cs="Times New Roman"/>
          <w:color w:val="auto"/>
          <w:sz w:val="24"/>
          <w:szCs w:val="24"/>
        </w:rPr>
        <w:t>....................................................................................................................</w:t>
      </w:r>
      <w:r w:rsidR="009059C7">
        <w:rPr>
          <w:rFonts w:ascii="Times New Roman" w:eastAsia="Times New Roman" w:hAnsi="Times New Roman" w:cs="Times New Roman"/>
          <w:color w:val="auto"/>
          <w:sz w:val="24"/>
          <w:szCs w:val="24"/>
        </w:rPr>
        <w:t>8</w:t>
      </w:r>
    </w:p>
    <w:p w14:paraId="65A7A14D" w14:textId="1C0D6E6E" w:rsidR="00AD0004" w:rsidRPr="00AD0004" w:rsidRDefault="00AD0004" w:rsidP="00AD0004">
      <w:pPr>
        <w:spacing w:line="480" w:lineRule="auto"/>
        <w:rPr>
          <w:rFonts w:ascii="Times New Roman" w:hAnsi="Times New Roman" w:cs="Times New Roman"/>
        </w:rPr>
      </w:pPr>
      <w:r w:rsidRPr="00AD0004">
        <w:rPr>
          <w:rFonts w:ascii="Times New Roman" w:hAnsi="Times New Roman" w:cs="Times New Roman"/>
        </w:rPr>
        <w:t>Conclusion</w:t>
      </w:r>
      <w:r>
        <w:rPr>
          <w:rFonts w:ascii="Times New Roman" w:hAnsi="Times New Roman" w:cs="Times New Roman"/>
        </w:rPr>
        <w:t>.......................................................................................................................................</w:t>
      </w:r>
      <w:r w:rsidR="009059C7">
        <w:rPr>
          <w:rFonts w:ascii="Times New Roman" w:hAnsi="Times New Roman" w:cs="Times New Roman"/>
        </w:rPr>
        <w:t>8</w:t>
      </w:r>
    </w:p>
    <w:p w14:paraId="66F8668D" w14:textId="77777777" w:rsidR="00AD0004" w:rsidRPr="00AD0004" w:rsidRDefault="00AD0004" w:rsidP="00AD0004"/>
    <w:p w14:paraId="640A6AD8" w14:textId="77777777" w:rsidR="00AD0004" w:rsidRPr="00AD0004" w:rsidRDefault="00AD0004" w:rsidP="00AD0004"/>
    <w:p w14:paraId="71A8CA92" w14:textId="77777777" w:rsidR="00AD0004" w:rsidRPr="00AD0004" w:rsidRDefault="00AD0004" w:rsidP="00AD0004"/>
    <w:p w14:paraId="78E4DABD" w14:textId="77777777" w:rsidR="00AD0004" w:rsidRPr="00AD0004" w:rsidRDefault="00AD0004" w:rsidP="00AD0004"/>
    <w:p w14:paraId="389611E5" w14:textId="77777777" w:rsidR="00AD0004" w:rsidRPr="00AD0004" w:rsidRDefault="00AD0004" w:rsidP="00E87CFC">
      <w:pPr>
        <w:rPr>
          <w:rFonts w:ascii="Times New Roman" w:hAnsi="Times New Roman" w:cs="Times New Roman"/>
        </w:rPr>
      </w:pPr>
    </w:p>
    <w:p w14:paraId="1CBEAAD8" w14:textId="77777777" w:rsidR="00AD0004" w:rsidRPr="00E87CFC" w:rsidRDefault="00AD0004" w:rsidP="00E87CFC"/>
    <w:p w14:paraId="6E877C6D" w14:textId="79933E69" w:rsidR="3A3FF2F2" w:rsidRDefault="3A3FF2F2" w:rsidP="361BDF5F"/>
    <w:p w14:paraId="002E59B2" w14:textId="211A7A4E" w:rsidR="3A3FF2F2" w:rsidRDefault="3A3FF2F2" w:rsidP="361BDF5F"/>
    <w:p w14:paraId="7D158EF0" w14:textId="39086FC8" w:rsidR="3A3FF2F2" w:rsidRDefault="3A3FF2F2" w:rsidP="361BDF5F"/>
    <w:p w14:paraId="23811762" w14:textId="6E6C63E7" w:rsidR="3A3FF2F2" w:rsidRDefault="3A3FF2F2" w:rsidP="361BDF5F"/>
    <w:p w14:paraId="4347368E" w14:textId="54E13297" w:rsidR="3A3FF2F2" w:rsidRDefault="3A3FF2F2" w:rsidP="361BDF5F"/>
    <w:p w14:paraId="0B506ABE" w14:textId="19E74A55" w:rsidR="3A3FF2F2" w:rsidRDefault="3A3FF2F2" w:rsidP="361BDF5F"/>
    <w:p w14:paraId="6B333935" w14:textId="5FFF5392" w:rsidR="3A3FF2F2" w:rsidRDefault="3A3FF2F2" w:rsidP="361BDF5F"/>
    <w:p w14:paraId="7CB725ED" w14:textId="5C1E2137" w:rsidR="3A3FF2F2" w:rsidRDefault="3A3FF2F2" w:rsidP="361BDF5F"/>
    <w:p w14:paraId="6AA7EBA0" w14:textId="0266DBBF" w:rsidR="3A3FF2F2" w:rsidRDefault="3A3FF2F2" w:rsidP="361BDF5F"/>
    <w:p w14:paraId="77194FE0" w14:textId="7B599C60" w:rsidR="553A1CF3" w:rsidRDefault="553A1CF3" w:rsidP="009059C7">
      <w:pPr>
        <w:pStyle w:val="Heading3"/>
        <w:spacing w:before="320" w:line="480" w:lineRule="auto"/>
        <w:rPr>
          <w:rFonts w:ascii="Times New Roman" w:eastAsia="Times New Roman" w:hAnsi="Times New Roman" w:cs="Times New Roman"/>
          <w:b/>
          <w:bCs/>
          <w:color w:val="auto"/>
          <w:sz w:val="24"/>
          <w:szCs w:val="24"/>
        </w:rPr>
      </w:pPr>
      <w:bookmarkStart w:id="2" w:name="_Toc687373676"/>
      <w:r w:rsidRPr="361BDF5F">
        <w:rPr>
          <w:rFonts w:ascii="Times New Roman" w:eastAsia="Times New Roman" w:hAnsi="Times New Roman" w:cs="Times New Roman"/>
          <w:b/>
          <w:bCs/>
          <w:color w:val="auto"/>
          <w:sz w:val="24"/>
          <w:szCs w:val="24"/>
        </w:rPr>
        <w:lastRenderedPageBreak/>
        <w:t>Introduction</w:t>
      </w:r>
      <w:bookmarkEnd w:id="2"/>
    </w:p>
    <w:p w14:paraId="01AB7D56" w14:textId="31F4C2B1" w:rsidR="3A3AEF96" w:rsidRDefault="3A3AEF96"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 xml:space="preserve">As of September 2024, there are approximately 89,792 patients on the kidney transplant waiting list in the United States, a number that continues to grow daily. </w:t>
      </w:r>
      <w:r w:rsidRPr="361BDF5F">
        <w:rPr>
          <w:rFonts w:ascii="Times New Roman" w:eastAsia="Times New Roman" w:hAnsi="Times New Roman" w:cs="Times New Roman"/>
          <w:color w:val="001D35"/>
        </w:rPr>
        <w:t>Many patients will wait for years to receive a kidney, and some will die before a transplant can occur.</w:t>
      </w:r>
      <w:r w:rsidRPr="361BDF5F">
        <w:rPr>
          <w:rFonts w:ascii="Times New Roman" w:eastAsia="Times New Roman" w:hAnsi="Times New Roman" w:cs="Times New Roman"/>
        </w:rPr>
        <w:t xml:space="preserve"> To address this crisis, living kidney donation has emerged as a vital solution, offering recipients the opportunity for better outcomes and a higher quality of life compared to deceased donor transplants. According to the National Library of Medicine, living kidney donation has proven to be more effective and beneficial than relying solely on deceased donor kidneys.</w:t>
      </w:r>
    </w:p>
    <w:p w14:paraId="39B136BE" w14:textId="464B66FE" w:rsidR="3A3AEF96" w:rsidRDefault="3A3AEF96"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 xml:space="preserve">The urgent need for solutions to this growing organ shortage has led to the development of innovative programs such as the Kidney Paired Donation Pilot Program (KPDPP). Managed by the United Network for Organ Sharing (UNOS) and associated with the Organ Procurement and Transplantation Network (OPTN), the KPDPP facilitates the matching of incompatible donor-recipient pairs through a process known as paired kidney exchanges. </w:t>
      </w:r>
    </w:p>
    <w:p w14:paraId="5A05BB75" w14:textId="00BA72FE" w:rsidR="3A3AEF96" w:rsidRDefault="3A3AEF96"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This program significantly increases the chances of successful transplants by allowing incompatible donor-recipient pairs to swap kidneys, thereby expanding the pool of compatible donors, and improving transplant outcomes. Through the KPDPP, kidney recipients who have a willing but incompatible donor can participate in a series of exchanges, often involving multiple pairs in a multi-way exchange. This system not only helps reduce wait times for transplants but also saves lives by increasing the number of successful matches. By leveraging a nationwide system that connects transplant centers and organ recovery agencies, the KPDPP offers an innovative approach to tackling kidney shortage and improving patient care.</w:t>
      </w:r>
    </w:p>
    <w:p w14:paraId="752F6F02" w14:textId="146893B6" w:rsidR="361BDF5F" w:rsidRDefault="361BDF5F" w:rsidP="009059C7">
      <w:pPr>
        <w:spacing w:after="0" w:line="480" w:lineRule="auto"/>
        <w:rPr>
          <w:rFonts w:ascii="Times New Roman" w:eastAsia="Times New Roman" w:hAnsi="Times New Roman" w:cs="Times New Roman"/>
          <w:color w:val="001D35"/>
        </w:rPr>
      </w:pPr>
    </w:p>
    <w:p w14:paraId="5595AC6D" w14:textId="08740113" w:rsidR="553A1CF3" w:rsidRDefault="553A1CF3" w:rsidP="009059C7">
      <w:pPr>
        <w:spacing w:after="0" w:line="480" w:lineRule="auto"/>
        <w:jc w:val="center"/>
        <w:rPr>
          <w:rFonts w:ascii="Times New Roman" w:eastAsia="Times New Roman" w:hAnsi="Times New Roman" w:cs="Times New Roman"/>
        </w:rPr>
      </w:pPr>
      <w:r>
        <w:rPr>
          <w:noProof/>
        </w:rPr>
        <w:lastRenderedPageBreak/>
        <w:drawing>
          <wp:inline distT="0" distB="0" distL="0" distR="0" wp14:anchorId="1F0B1641" wp14:editId="7A6B4765">
            <wp:extent cx="5181598" cy="2981325"/>
            <wp:effectExtent l="0" t="0" r="0" b="0"/>
            <wp:docPr id="1319652171" name="Picture 131965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1598" cy="2981325"/>
                    </a:xfrm>
                    <a:prstGeom prst="rect">
                      <a:avLst/>
                    </a:prstGeom>
                  </pic:spPr>
                </pic:pic>
              </a:graphicData>
            </a:graphic>
          </wp:inline>
        </w:drawing>
      </w:r>
    </w:p>
    <w:p w14:paraId="3E66C4B5" w14:textId="070AFA3F" w:rsidR="00AD0004" w:rsidRPr="00AD0004" w:rsidRDefault="553A1CF3" w:rsidP="009059C7">
      <w:pPr>
        <w:spacing w:after="0" w:line="480" w:lineRule="auto"/>
        <w:jc w:val="center"/>
        <w:rPr>
          <w:rFonts w:ascii="Times New Roman" w:eastAsia="Times New Roman" w:hAnsi="Times New Roman" w:cs="Times New Roman"/>
          <w:i/>
          <w:iCs/>
          <w:color w:val="001D35"/>
        </w:rPr>
      </w:pPr>
      <w:r w:rsidRPr="361BDF5F">
        <w:rPr>
          <w:rFonts w:ascii="Times New Roman" w:eastAsia="Times New Roman" w:hAnsi="Times New Roman" w:cs="Times New Roman"/>
          <w:i/>
          <w:iCs/>
          <w:color w:val="001D35"/>
        </w:rPr>
        <w:t>Figure 1: Two-way exchange (left) and Three-way exchange (right)</w:t>
      </w:r>
    </w:p>
    <w:p w14:paraId="002B5B98" w14:textId="4A7E5B20" w:rsidR="00AD0004" w:rsidRDefault="553A1CF3" w:rsidP="009059C7">
      <w:pPr>
        <w:spacing w:after="0" w:line="480" w:lineRule="auto"/>
        <w:jc w:val="both"/>
        <w:rPr>
          <w:rFonts w:ascii="Times New Roman" w:eastAsia="Times New Roman" w:hAnsi="Times New Roman" w:cs="Times New Roman"/>
          <w:color w:val="001D35"/>
        </w:rPr>
      </w:pPr>
      <w:r w:rsidRPr="361BDF5F">
        <w:rPr>
          <w:rFonts w:ascii="Times New Roman" w:eastAsia="Times New Roman" w:hAnsi="Times New Roman" w:cs="Times New Roman"/>
          <w:color w:val="001D35"/>
        </w:rPr>
        <w:t>This project specifically examines the matching process in KPD</w:t>
      </w:r>
      <w:r w:rsidR="339FE910" w:rsidRPr="361BDF5F">
        <w:rPr>
          <w:rFonts w:ascii="Times New Roman" w:eastAsia="Times New Roman" w:hAnsi="Times New Roman" w:cs="Times New Roman"/>
          <w:color w:val="001D35"/>
        </w:rPr>
        <w:t>PP</w:t>
      </w:r>
      <w:r w:rsidRPr="361BDF5F">
        <w:rPr>
          <w:rFonts w:ascii="Times New Roman" w:eastAsia="Times New Roman" w:hAnsi="Times New Roman" w:cs="Times New Roman"/>
          <w:color w:val="001D35"/>
        </w:rPr>
        <w:t xml:space="preserve"> based on blood type compatibility. This criterion is essential to </w:t>
      </w:r>
      <w:r w:rsidR="036D0DFF" w:rsidRPr="361BDF5F">
        <w:rPr>
          <w:rFonts w:ascii="Times New Roman" w:eastAsia="Times New Roman" w:hAnsi="Times New Roman" w:cs="Times New Roman"/>
          <w:color w:val="001D35"/>
        </w:rPr>
        <w:t>ensure</w:t>
      </w:r>
      <w:r w:rsidRPr="361BDF5F">
        <w:rPr>
          <w:rFonts w:ascii="Times New Roman" w:eastAsia="Times New Roman" w:hAnsi="Times New Roman" w:cs="Times New Roman"/>
          <w:color w:val="001D35"/>
        </w:rPr>
        <w:t xml:space="preserve"> that donated kidneys are suitable for their intended recipients, improving the success rates of transplants and enhancing patient outcomes.</w:t>
      </w:r>
    </w:p>
    <w:p w14:paraId="10295FF8" w14:textId="31FFB048" w:rsidR="3A3FF2F2" w:rsidRDefault="57383098" w:rsidP="009059C7">
      <w:pPr>
        <w:spacing w:line="480" w:lineRule="auto"/>
        <w:jc w:val="center"/>
        <w:rPr>
          <w:rFonts w:ascii="Times New Roman" w:eastAsia="Times New Roman" w:hAnsi="Times New Roman" w:cs="Times New Roman"/>
        </w:rPr>
      </w:pPr>
      <w:r>
        <w:rPr>
          <w:noProof/>
        </w:rPr>
        <w:drawing>
          <wp:inline distT="0" distB="0" distL="0" distR="0" wp14:anchorId="4DD93DB9" wp14:editId="049F6D19">
            <wp:extent cx="4233115" cy="2044700"/>
            <wp:effectExtent l="0" t="0" r="0" b="0"/>
            <wp:docPr id="1205708996" name="Picture 120570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t="12888"/>
                    <a:stretch>
                      <a:fillRect/>
                    </a:stretch>
                  </pic:blipFill>
                  <pic:spPr>
                    <a:xfrm>
                      <a:off x="0" y="0"/>
                      <a:ext cx="4246008" cy="2050927"/>
                    </a:xfrm>
                    <a:prstGeom prst="rect">
                      <a:avLst/>
                    </a:prstGeom>
                  </pic:spPr>
                </pic:pic>
              </a:graphicData>
            </a:graphic>
          </wp:inline>
        </w:drawing>
      </w:r>
    </w:p>
    <w:p w14:paraId="221C1FA4" w14:textId="77777777" w:rsidR="009059C7" w:rsidRDefault="57383098" w:rsidP="009059C7">
      <w:pPr>
        <w:spacing w:line="480" w:lineRule="auto"/>
        <w:jc w:val="center"/>
        <w:rPr>
          <w:rFonts w:ascii="Times New Roman" w:eastAsia="Times New Roman" w:hAnsi="Times New Roman" w:cs="Times New Roman"/>
          <w:i/>
          <w:iCs/>
        </w:rPr>
      </w:pPr>
      <w:r w:rsidRPr="361BDF5F">
        <w:rPr>
          <w:rFonts w:ascii="Times New Roman" w:eastAsia="Times New Roman" w:hAnsi="Times New Roman" w:cs="Times New Roman"/>
          <w:i/>
          <w:iCs/>
        </w:rPr>
        <w:t>Figure 2: Blood Type Compatibility Chart</w:t>
      </w:r>
      <w:bookmarkStart w:id="3" w:name="_Toc1375973154"/>
    </w:p>
    <w:p w14:paraId="33BF38B8" w14:textId="77777777" w:rsidR="009059C7" w:rsidRDefault="009059C7" w:rsidP="009059C7">
      <w:pPr>
        <w:spacing w:line="480" w:lineRule="auto"/>
        <w:jc w:val="center"/>
        <w:rPr>
          <w:rFonts w:ascii="Times New Roman" w:eastAsia="Times New Roman" w:hAnsi="Times New Roman" w:cs="Times New Roman"/>
          <w:i/>
          <w:iCs/>
        </w:rPr>
      </w:pPr>
    </w:p>
    <w:p w14:paraId="0ABBA8E4" w14:textId="77777777" w:rsidR="009059C7" w:rsidRDefault="009059C7" w:rsidP="009059C7">
      <w:pPr>
        <w:spacing w:line="480" w:lineRule="auto"/>
        <w:jc w:val="center"/>
        <w:rPr>
          <w:rFonts w:ascii="Times New Roman" w:eastAsia="Times New Roman" w:hAnsi="Times New Roman" w:cs="Times New Roman"/>
          <w:i/>
          <w:iCs/>
        </w:rPr>
      </w:pPr>
    </w:p>
    <w:p w14:paraId="717B9FFE" w14:textId="49EFAC8E" w:rsidR="553A1CF3" w:rsidRPr="009059C7" w:rsidRDefault="553A1CF3" w:rsidP="009059C7">
      <w:pPr>
        <w:spacing w:line="480" w:lineRule="auto"/>
        <w:rPr>
          <w:rFonts w:ascii="Times New Roman" w:eastAsia="Times New Roman" w:hAnsi="Times New Roman" w:cs="Times New Roman"/>
          <w:i/>
          <w:iCs/>
        </w:rPr>
      </w:pPr>
      <w:r w:rsidRPr="361BDF5F">
        <w:rPr>
          <w:rFonts w:ascii="Times New Roman" w:eastAsia="Times New Roman" w:hAnsi="Times New Roman" w:cs="Times New Roman"/>
          <w:b/>
          <w:bCs/>
        </w:rPr>
        <w:lastRenderedPageBreak/>
        <w:t>Problem Statement</w:t>
      </w:r>
      <w:bookmarkEnd w:id="3"/>
    </w:p>
    <w:p w14:paraId="140AD403" w14:textId="2A010641" w:rsidR="00723DC8" w:rsidRDefault="565EA2A3" w:rsidP="009059C7">
      <w:pPr>
        <w:spacing w:before="240" w:after="240" w:line="480" w:lineRule="auto"/>
        <w:jc w:val="both"/>
        <w:rPr>
          <w:rFonts w:ascii="Times New Roman" w:eastAsia="Times New Roman" w:hAnsi="Times New Roman" w:cs="Times New Roman"/>
        </w:rPr>
      </w:pPr>
      <w:r w:rsidRPr="361BDF5F">
        <w:rPr>
          <w:rFonts w:ascii="Times New Roman" w:eastAsia="Times New Roman" w:hAnsi="Times New Roman" w:cs="Times New Roman"/>
        </w:rPr>
        <w:t>This project aims to determine the optimal number of kidney transplants that can be performed using a unique dataset of incompatible recipient-donor pairs</w:t>
      </w:r>
      <w:r w:rsidRPr="00723DC8">
        <w:rPr>
          <w:rFonts w:ascii="Times New Roman" w:eastAsia="Times New Roman" w:hAnsi="Times New Roman" w:cs="Times New Roman"/>
        </w:rPr>
        <w:t xml:space="preserve">. The goal is to display the optimal solution through </w:t>
      </w:r>
      <w:r w:rsidR="00723DC8">
        <w:rPr>
          <w:rFonts w:ascii="Times New Roman" w:eastAsia="Times New Roman" w:hAnsi="Times New Roman" w:cs="Times New Roman"/>
        </w:rPr>
        <w:t xml:space="preserve">data </w:t>
      </w:r>
      <w:r w:rsidR="00723DC8" w:rsidRPr="00723DC8">
        <w:rPr>
          <w:rFonts w:ascii="Times New Roman" w:eastAsia="Times New Roman" w:hAnsi="Times New Roman" w:cs="Times New Roman"/>
        </w:rPr>
        <w:t xml:space="preserve">tables that </w:t>
      </w:r>
      <w:r w:rsidR="009059C7">
        <w:rPr>
          <w:rFonts w:ascii="Times New Roman" w:eastAsia="Times New Roman" w:hAnsi="Times New Roman" w:cs="Times New Roman"/>
        </w:rPr>
        <w:t>show</w:t>
      </w:r>
      <w:r w:rsidR="00723DC8" w:rsidRPr="00723DC8">
        <w:rPr>
          <w:rFonts w:ascii="Times New Roman" w:eastAsia="Times New Roman" w:hAnsi="Times New Roman" w:cs="Times New Roman"/>
        </w:rPr>
        <w:t xml:space="preserve"> the optimal number of transplantations </w:t>
      </w:r>
      <w:r w:rsidRPr="00723DC8">
        <w:rPr>
          <w:rFonts w:ascii="Times New Roman" w:eastAsia="Times New Roman" w:hAnsi="Times New Roman" w:cs="Times New Roman"/>
        </w:rPr>
        <w:t>which will visually demonstrate the maximization of successful transplants based on the given data.</w:t>
      </w:r>
      <w:r w:rsidRPr="361BDF5F">
        <w:rPr>
          <w:rFonts w:ascii="Times New Roman" w:eastAsia="Times New Roman" w:hAnsi="Times New Roman" w:cs="Times New Roman"/>
        </w:rPr>
        <w:t xml:space="preserve"> </w:t>
      </w:r>
      <w:r w:rsidR="00723DC8">
        <w:rPr>
          <w:rFonts w:ascii="Times New Roman" w:eastAsia="Times New Roman" w:hAnsi="Times New Roman" w:cs="Times New Roman"/>
        </w:rPr>
        <w:t>The data tables in this report highlight the impact of number of donors have on successful transplantation and the impact of blood type compatibility on successful transplantation.</w:t>
      </w:r>
    </w:p>
    <w:p w14:paraId="5DE33615" w14:textId="6C7AB91B" w:rsidR="009059C7" w:rsidRDefault="565EA2A3" w:rsidP="009059C7">
      <w:pPr>
        <w:spacing w:before="240" w:after="240" w:line="480" w:lineRule="auto"/>
        <w:jc w:val="both"/>
        <w:rPr>
          <w:rFonts w:ascii="Times New Roman" w:eastAsia="Times New Roman" w:hAnsi="Times New Roman" w:cs="Times New Roman"/>
        </w:rPr>
      </w:pPr>
      <w:r w:rsidRPr="361BDF5F">
        <w:rPr>
          <w:rFonts w:ascii="Times New Roman" w:eastAsia="Times New Roman" w:hAnsi="Times New Roman" w:cs="Times New Roman"/>
        </w:rPr>
        <w:t>The primary focus of the project is to address several critical challenges in kidney transplantation, including ensuring compatibility between blood types and adhering to uniqueness constraints that prevent repeated or conflicting pairings within the system.</w:t>
      </w:r>
    </w:p>
    <w:p w14:paraId="02C914EA" w14:textId="77777777" w:rsidR="009059C7" w:rsidRPr="009059C7" w:rsidRDefault="009059C7" w:rsidP="009059C7">
      <w:pPr>
        <w:spacing w:before="240" w:after="240" w:line="480" w:lineRule="auto"/>
        <w:jc w:val="both"/>
        <w:rPr>
          <w:rFonts w:ascii="Times New Roman" w:eastAsia="Times New Roman" w:hAnsi="Times New Roman" w:cs="Times New Roman"/>
        </w:rPr>
      </w:pPr>
    </w:p>
    <w:p w14:paraId="1E1BFC6D" w14:textId="7D792CF3" w:rsidR="70496C20" w:rsidRDefault="70496C20" w:rsidP="009059C7">
      <w:pPr>
        <w:pStyle w:val="Heading3"/>
        <w:spacing w:line="480" w:lineRule="auto"/>
        <w:jc w:val="both"/>
        <w:rPr>
          <w:rFonts w:ascii="Times New Roman" w:eastAsia="Times New Roman" w:hAnsi="Times New Roman" w:cs="Times New Roman"/>
          <w:b/>
          <w:bCs/>
          <w:color w:val="auto"/>
          <w:sz w:val="24"/>
          <w:szCs w:val="24"/>
        </w:rPr>
      </w:pPr>
      <w:r w:rsidRPr="361BDF5F">
        <w:rPr>
          <w:rFonts w:ascii="Times New Roman" w:eastAsia="Times New Roman" w:hAnsi="Times New Roman" w:cs="Times New Roman"/>
          <w:b/>
          <w:bCs/>
          <w:color w:val="auto"/>
          <w:sz w:val="24"/>
          <w:szCs w:val="24"/>
        </w:rPr>
        <w:t>Operations Research Model in Words &amp; Math</w:t>
      </w:r>
    </w:p>
    <w:p w14:paraId="5BED5CB4" w14:textId="07E2C585" w:rsidR="492CF5FD" w:rsidRDefault="492CF5FD" w:rsidP="009059C7">
      <w:pPr>
        <w:spacing w:before="240" w:after="240" w:line="480" w:lineRule="auto"/>
        <w:jc w:val="both"/>
        <w:rPr>
          <w:rFonts w:ascii="Times New Roman" w:eastAsia="Times New Roman" w:hAnsi="Times New Roman" w:cs="Times New Roman"/>
        </w:rPr>
      </w:pPr>
      <w:r w:rsidRPr="361BDF5F">
        <w:rPr>
          <w:rFonts w:ascii="Times New Roman" w:eastAsia="Times New Roman" w:hAnsi="Times New Roman" w:cs="Times New Roman"/>
        </w:rPr>
        <w:t xml:space="preserve">The objective function of our model is to </w:t>
      </w:r>
      <w:r w:rsidR="104A6219" w:rsidRPr="361BDF5F">
        <w:rPr>
          <w:rFonts w:ascii="Times New Roman" w:eastAsia="Times New Roman" w:hAnsi="Times New Roman" w:cs="Times New Roman"/>
        </w:rPr>
        <w:t xml:space="preserve">maximize the </w:t>
      </w:r>
      <w:r w:rsidR="301B50BB" w:rsidRPr="361BDF5F">
        <w:rPr>
          <w:rFonts w:ascii="Times New Roman" w:eastAsia="Times New Roman" w:hAnsi="Times New Roman" w:cs="Times New Roman"/>
        </w:rPr>
        <w:t xml:space="preserve">total number of transplantations via the </w:t>
      </w:r>
      <w:r w:rsidR="00723DC8">
        <w:rPr>
          <w:rFonts w:ascii="Times New Roman" w:eastAsia="Times New Roman" w:hAnsi="Times New Roman" w:cs="Times New Roman"/>
        </w:rPr>
        <w:t>two</w:t>
      </w:r>
      <w:r w:rsidR="104A6219" w:rsidRPr="361BDF5F">
        <w:rPr>
          <w:rFonts w:ascii="Times New Roman" w:eastAsia="Times New Roman" w:hAnsi="Times New Roman" w:cs="Times New Roman"/>
        </w:rPr>
        <w:t>-way kidney exchange matches (2-cycles) between donors and recipients. Mathematically, this is represented as:</w:t>
      </w:r>
    </w:p>
    <w:p w14:paraId="3D40B084" w14:textId="76903D72" w:rsidR="00723DC8" w:rsidRPr="00723DC8" w:rsidRDefault="00723DC8" w:rsidP="009059C7">
      <w:pPr>
        <w:spacing w:before="240" w:after="240" w:line="480" w:lineRule="auto"/>
        <w:rPr>
          <w:rFonts w:ascii="Times New Roman" w:hAnsi="Times New Roman" w:cs="Times New Roman"/>
        </w:rPr>
      </w:pPr>
      <m:oMathPara>
        <m:oMath>
          <m:r>
            <w:rPr>
              <w:rFonts w:ascii="Cambria Math" w:hAnsi="Cambria Math" w:cs="Times New Roman"/>
            </w:rPr>
            <m:t>max</m:t>
          </m:r>
          <m:nary>
            <m:naryPr>
              <m:chr m:val="∑"/>
              <m:limLoc m:val="undOvr"/>
              <m:supHide m:val="1"/>
              <m:ctrlPr>
                <w:rPr>
                  <w:rFonts w:ascii="Cambria Math" w:hAnsi="Cambria Math" w:cs="Times New Roman"/>
                  <w:i/>
                </w:rPr>
              </m:ctrlPr>
            </m:naryPr>
            <m:sub>
              <m:r>
                <w:rPr>
                  <w:rFonts w:ascii="Cambria Math" w:hAnsi="Cambria Math" w:cs="Times New Roman"/>
                </w:rPr>
                <m:t>e∈E</m:t>
              </m:r>
            </m:sub>
            <m:sup/>
            <m:e>
              <m:sSub>
                <m:sSubPr>
                  <m:ctrlPr>
                    <w:rPr>
                      <w:rFonts w:ascii="Cambria Math" w:hAnsi="Cambria Math" w:cs="Times New Roman"/>
                      <w:i/>
                    </w:rPr>
                  </m:ctrlPr>
                </m:sSubPr>
                <m:e>
                  <m:r>
                    <w:rPr>
                      <w:rFonts w:ascii="Cambria Math" w:hAnsi="Cambria Math" w:cs="Times New Roman"/>
                    </w:rPr>
                    <m:t>2x</m:t>
                  </m:r>
                </m:e>
                <m:sub>
                  <m:r>
                    <w:rPr>
                      <w:rFonts w:ascii="Cambria Math" w:hAnsi="Cambria Math" w:cs="Times New Roman"/>
                    </w:rPr>
                    <m:t>e</m:t>
                  </m:r>
                </m:sub>
              </m:sSub>
            </m:e>
          </m:nary>
        </m:oMath>
      </m:oMathPara>
    </w:p>
    <w:p w14:paraId="038D242B" w14:textId="5BC5C710" w:rsidR="00723DC8" w:rsidRPr="00202036" w:rsidRDefault="00723DC8" w:rsidP="009059C7">
      <w:pPr>
        <w:spacing w:before="240" w:after="240" w:line="480" w:lineRule="auto"/>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 xml:space="preserve"> </m:t>
        </m:r>
      </m:oMath>
      <w:r>
        <w:rPr>
          <w:rFonts w:ascii="Times New Roman" w:hAnsi="Times New Roman" w:cs="Times New Roman"/>
        </w:rPr>
        <w:t>represents a binary variable defined as:</w:t>
      </w:r>
    </w:p>
    <w:p w14:paraId="15C7E6B5" w14:textId="20018748" w:rsidR="05A05176" w:rsidRDefault="00723DC8" w:rsidP="009059C7">
      <w:pPr>
        <w:spacing w:before="240" w:after="240" w:line="480" w:lineRule="auto"/>
        <w:ind w:left="3600"/>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e</m:t>
            </m:r>
          </m:sub>
        </m:sSub>
        <m:r>
          <w:rPr>
            <w:rFonts w:ascii="Cambria Math" w:eastAsia="Times New Roman" w:hAnsi="Cambria Math" w:cs="Times New Roman"/>
          </w:rPr>
          <m:t xml:space="preserve"> :</m:t>
        </m:r>
      </m:oMath>
      <w:r w:rsidR="3FDA01C5" w:rsidRPr="361BDF5F">
        <w:rPr>
          <w:rFonts w:ascii="Times New Roman" w:eastAsia="Times New Roman" w:hAnsi="Times New Roman" w:cs="Times New Roman"/>
        </w:rPr>
        <w:t>=</w:t>
      </w:r>
      <w:r>
        <w:rPr>
          <w:rFonts w:ascii="Times New Roman" w:eastAsia="Times New Roman" w:hAnsi="Times New Roman" w:cs="Times New Roman"/>
        </w:rPr>
        <w:t xml:space="preserve"> </w:t>
      </w:r>
      <w:r w:rsidR="3FDA01C5" w:rsidRPr="361BDF5F">
        <w:rPr>
          <w:rFonts w:ascii="Times New Roman" w:eastAsia="Times New Roman" w:hAnsi="Times New Roman" w:cs="Times New Roman"/>
        </w:rPr>
        <w:t>{1: if edge e is selected</w:t>
      </w:r>
    </w:p>
    <w:p w14:paraId="198E98CC" w14:textId="75AFA57A" w:rsidR="3FDA01C5" w:rsidRDefault="3FDA01C5" w:rsidP="009059C7">
      <w:pPr>
        <w:spacing w:before="240" w:after="240" w:line="480" w:lineRule="auto"/>
        <w:ind w:left="3600"/>
        <w:rPr>
          <w:rFonts w:ascii="Times New Roman" w:eastAsia="Times New Roman" w:hAnsi="Times New Roman" w:cs="Times New Roman"/>
        </w:rPr>
      </w:pPr>
      <w:r w:rsidRPr="361BDF5F">
        <w:rPr>
          <w:rFonts w:ascii="Times New Roman" w:eastAsia="Times New Roman" w:hAnsi="Times New Roman" w:cs="Times New Roman"/>
        </w:rPr>
        <w:t xml:space="preserve">        </w:t>
      </w:r>
      <w:r w:rsidR="00723DC8">
        <w:rPr>
          <w:rFonts w:ascii="Times New Roman" w:eastAsia="Times New Roman" w:hAnsi="Times New Roman" w:cs="Times New Roman"/>
        </w:rPr>
        <w:tab/>
      </w:r>
      <w:r w:rsidRPr="361BDF5F">
        <w:rPr>
          <w:rFonts w:ascii="Times New Roman" w:eastAsia="Times New Roman" w:hAnsi="Times New Roman" w:cs="Times New Roman"/>
        </w:rPr>
        <w:t>0: otherwise</w:t>
      </w:r>
    </w:p>
    <w:p w14:paraId="78419699" w14:textId="5E508265" w:rsidR="0E785D2B" w:rsidRDefault="0E785D2B" w:rsidP="009059C7">
      <w:pPr>
        <w:spacing w:before="240" w:after="240" w:line="480" w:lineRule="auto"/>
        <w:rPr>
          <w:rFonts w:ascii="Times New Roman" w:eastAsia="Times New Roman" w:hAnsi="Times New Roman" w:cs="Times New Roman"/>
        </w:rPr>
      </w:pPr>
      <w:r w:rsidRPr="361BDF5F">
        <w:rPr>
          <w:rFonts w:ascii="Times New Roman" w:eastAsia="Times New Roman" w:hAnsi="Times New Roman" w:cs="Times New Roman"/>
        </w:rPr>
        <w:lastRenderedPageBreak/>
        <w:t xml:space="preserve">Each selected edge </w:t>
      </w:r>
      <w:r w:rsidR="00723DC8">
        <w:rPr>
          <w:rFonts w:ascii="Times New Roman" w:eastAsia="Times New Roman" w:hAnsi="Times New Roman" w:cs="Times New Roman"/>
        </w:rPr>
        <w:t xml:space="preserve">e </w:t>
      </w:r>
      <w:r w:rsidRPr="361BDF5F">
        <w:rPr>
          <w:rFonts w:ascii="Times New Roman" w:eastAsia="Times New Roman" w:hAnsi="Times New Roman" w:cs="Times New Roman"/>
        </w:rPr>
        <w:t xml:space="preserve">represents a </w:t>
      </w:r>
      <w:r w:rsidR="00723DC8">
        <w:rPr>
          <w:rFonts w:ascii="Times New Roman" w:eastAsia="Times New Roman" w:hAnsi="Times New Roman" w:cs="Times New Roman"/>
        </w:rPr>
        <w:t>2</w:t>
      </w:r>
      <w:r w:rsidRPr="361BDF5F">
        <w:rPr>
          <w:rFonts w:ascii="Times New Roman" w:eastAsia="Times New Roman" w:hAnsi="Times New Roman" w:cs="Times New Roman"/>
        </w:rPr>
        <w:t xml:space="preserve">-cycle kidney exchange, and accounts for two recipients involved in exchange. </w:t>
      </w:r>
    </w:p>
    <w:p w14:paraId="090DD102" w14:textId="64EBFC9E" w:rsidR="4F43D063" w:rsidRDefault="00723DC8" w:rsidP="009059C7">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c</w:t>
      </w:r>
      <w:r w:rsidR="6965C773" w:rsidRPr="361BDF5F">
        <w:rPr>
          <w:rFonts w:ascii="Times New Roman" w:eastAsia="Times New Roman" w:hAnsi="Times New Roman" w:cs="Times New Roman"/>
        </w:rPr>
        <w:t>onstraint</w:t>
      </w:r>
      <w:r>
        <w:rPr>
          <w:rFonts w:ascii="Times New Roman" w:eastAsia="Times New Roman" w:hAnsi="Times New Roman" w:cs="Times New Roman"/>
        </w:rPr>
        <w:t xml:space="preserve"> of our model is that e</w:t>
      </w:r>
      <w:r w:rsidR="4F43D063" w:rsidRPr="361BDF5F">
        <w:rPr>
          <w:rFonts w:ascii="Times New Roman" w:eastAsia="Times New Roman" w:hAnsi="Times New Roman" w:cs="Times New Roman"/>
        </w:rPr>
        <w:t xml:space="preserve">ach donor or recipient </w:t>
      </w:r>
      <w:r>
        <w:rPr>
          <w:rFonts w:ascii="Times New Roman" w:eastAsia="Times New Roman" w:hAnsi="Times New Roman" w:cs="Times New Roman"/>
        </w:rPr>
        <w:t xml:space="preserve">in an incompatible pair from the dataset </w:t>
      </w:r>
      <w:r w:rsidR="4F43D063" w:rsidRPr="361BDF5F">
        <w:rPr>
          <w:rFonts w:ascii="Times New Roman" w:eastAsia="Times New Roman" w:hAnsi="Times New Roman" w:cs="Times New Roman"/>
        </w:rPr>
        <w:t xml:space="preserve">is involved in </w:t>
      </w:r>
      <w:r w:rsidR="03E9CB02" w:rsidRPr="361BDF5F">
        <w:rPr>
          <w:rFonts w:ascii="Times New Roman" w:eastAsia="Times New Roman" w:hAnsi="Times New Roman" w:cs="Times New Roman"/>
        </w:rPr>
        <w:t>at</w:t>
      </w:r>
      <w:r w:rsidR="4F43D063" w:rsidRPr="361BDF5F">
        <w:rPr>
          <w:rFonts w:ascii="Times New Roman" w:eastAsia="Times New Roman" w:hAnsi="Times New Roman" w:cs="Times New Roman"/>
        </w:rPr>
        <w:t xml:space="preserve"> </w:t>
      </w:r>
      <w:r w:rsidR="03E9CB02" w:rsidRPr="361BDF5F">
        <w:rPr>
          <w:rFonts w:ascii="Times New Roman" w:eastAsia="Times New Roman" w:hAnsi="Times New Roman" w:cs="Times New Roman"/>
        </w:rPr>
        <w:t xml:space="preserve">most </w:t>
      </w:r>
      <w:r w:rsidR="4F43D063" w:rsidRPr="361BDF5F">
        <w:rPr>
          <w:rFonts w:ascii="Times New Roman" w:eastAsia="Times New Roman" w:hAnsi="Times New Roman" w:cs="Times New Roman"/>
        </w:rPr>
        <w:t>one organ exchange. Mathematically, this is represented as:</w:t>
      </w:r>
    </w:p>
    <w:p w14:paraId="11640D1E" w14:textId="09C18C47" w:rsidR="4F43D063" w:rsidRDefault="00723DC8" w:rsidP="009059C7">
      <w:pPr>
        <w:spacing w:before="240" w:after="240" w:line="480" w:lineRule="auto"/>
        <w:rPr>
          <w:rFonts w:ascii="Times New Roman" w:eastAsia="Times New Roman" w:hAnsi="Times New Roman" w:cs="Times New Roman"/>
        </w:rPr>
      </w:pPr>
      <m:oMathPara>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e∈E:V∈e</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e</m:t>
                  </m:r>
                </m:sub>
              </m:sSub>
              <m:r>
                <w:rPr>
                  <w:rFonts w:ascii="Cambria Math" w:eastAsia="Times New Roman" w:hAnsi="Cambria Math" w:cs="Times New Roman"/>
                </w:rPr>
                <m:t>≤1   ∨e∈V</m:t>
              </m:r>
            </m:e>
          </m:nary>
        </m:oMath>
      </m:oMathPara>
    </w:p>
    <w:p w14:paraId="5CE5C1F4" w14:textId="219BCCCA" w:rsidR="0E833CC2" w:rsidRDefault="0E833CC2" w:rsidP="009059C7">
      <w:pPr>
        <w:spacing w:before="240" w:after="240" w:line="480" w:lineRule="auto"/>
        <w:rPr>
          <w:rFonts w:ascii="Times New Roman" w:eastAsia="Times New Roman" w:hAnsi="Times New Roman" w:cs="Times New Roman"/>
        </w:rPr>
      </w:pPr>
      <w:r w:rsidRPr="361BDF5F">
        <w:rPr>
          <w:rFonts w:ascii="Times New Roman" w:eastAsia="Times New Roman" w:hAnsi="Times New Roman" w:cs="Times New Roman"/>
        </w:rPr>
        <w:t>where:</w:t>
      </w:r>
    </w:p>
    <w:p w14:paraId="7BB8A515" w14:textId="62CFEE04" w:rsidR="0E833CC2" w:rsidRDefault="0E833CC2" w:rsidP="009059C7">
      <w:pPr>
        <w:spacing w:after="0" w:line="480" w:lineRule="auto"/>
        <w:ind w:firstLine="720"/>
        <w:rPr>
          <w:rFonts w:ascii="Times New Roman" w:eastAsia="Times New Roman" w:hAnsi="Times New Roman" w:cs="Times New Roman"/>
        </w:rPr>
      </w:pPr>
      <w:r w:rsidRPr="361BDF5F">
        <w:rPr>
          <w:rFonts w:ascii="Times New Roman" w:eastAsia="Times New Roman" w:hAnsi="Times New Roman" w:cs="Times New Roman"/>
          <w:i/>
          <w:iCs/>
          <w:lang w:val=""/>
        </w:rPr>
        <w:t>E</w:t>
      </w:r>
      <w:r w:rsidRPr="361BDF5F">
        <w:rPr>
          <w:rFonts w:ascii="Times New Roman" w:eastAsia="Times New Roman" w:hAnsi="Times New Roman" w:cs="Times New Roman"/>
        </w:rPr>
        <w:t xml:space="preserve"> is the set of possible exchanges (edges) between donors and recipients.</w:t>
      </w:r>
    </w:p>
    <w:p w14:paraId="41597911" w14:textId="441A1A4A" w:rsidR="009059C7" w:rsidRDefault="0E833CC2" w:rsidP="009059C7">
      <w:pPr>
        <w:spacing w:after="0" w:line="480" w:lineRule="auto"/>
        <w:ind w:firstLine="720"/>
        <w:rPr>
          <w:rFonts w:ascii="Times New Roman" w:eastAsia="Times New Roman" w:hAnsi="Times New Roman" w:cs="Times New Roman"/>
        </w:rPr>
      </w:pPr>
      <w:r w:rsidRPr="361BDF5F">
        <w:rPr>
          <w:rFonts w:ascii="Times New Roman" w:eastAsia="Times New Roman" w:hAnsi="Times New Roman" w:cs="Times New Roman"/>
          <w:i/>
          <w:iCs/>
          <w:lang w:val=""/>
        </w:rPr>
        <w:t>V</w:t>
      </w:r>
      <w:r w:rsidRPr="361BDF5F">
        <w:rPr>
          <w:rFonts w:ascii="Times New Roman" w:eastAsia="Times New Roman" w:hAnsi="Times New Roman" w:cs="Times New Roman"/>
        </w:rPr>
        <w:t xml:space="preserve"> is the set of donors and recipients.</w:t>
      </w:r>
    </w:p>
    <w:p w14:paraId="7355CBA6" w14:textId="77777777" w:rsidR="009059C7" w:rsidRDefault="009059C7" w:rsidP="009059C7">
      <w:pPr>
        <w:spacing w:after="0" w:line="480" w:lineRule="auto"/>
        <w:ind w:firstLine="720"/>
        <w:rPr>
          <w:rFonts w:ascii="Times New Roman" w:eastAsia="Times New Roman" w:hAnsi="Times New Roman" w:cs="Times New Roman"/>
        </w:rPr>
      </w:pPr>
    </w:p>
    <w:p w14:paraId="588E0819" w14:textId="5313318F" w:rsidR="553A1CF3" w:rsidRDefault="553A1CF3" w:rsidP="009059C7">
      <w:pPr>
        <w:pStyle w:val="Heading3"/>
        <w:spacing w:line="480" w:lineRule="auto"/>
        <w:rPr>
          <w:rFonts w:ascii="Times New Roman" w:eastAsia="Times New Roman" w:hAnsi="Times New Roman" w:cs="Times New Roman"/>
          <w:b/>
          <w:bCs/>
          <w:color w:val="auto"/>
          <w:sz w:val="24"/>
          <w:szCs w:val="24"/>
        </w:rPr>
      </w:pPr>
      <w:r w:rsidRPr="361BDF5F">
        <w:rPr>
          <w:rFonts w:ascii="Times New Roman" w:eastAsia="Times New Roman" w:hAnsi="Times New Roman" w:cs="Times New Roman"/>
          <w:b/>
          <w:bCs/>
          <w:color w:val="auto"/>
          <w:sz w:val="24"/>
          <w:szCs w:val="24"/>
        </w:rPr>
        <w:t>Python/ Gurobi Code</w:t>
      </w:r>
    </w:p>
    <w:p w14:paraId="0DDB66EF" w14:textId="28C9F374" w:rsidR="009059C7" w:rsidRDefault="50E431EF"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The following GitHub repository provides our Python/Gurobi code and data.</w:t>
      </w:r>
    </w:p>
    <w:p w14:paraId="7D4906EE" w14:textId="77777777" w:rsidR="009059C7" w:rsidRPr="009059C7" w:rsidRDefault="009059C7" w:rsidP="009059C7">
      <w:pPr>
        <w:spacing w:line="480" w:lineRule="auto"/>
        <w:jc w:val="both"/>
        <w:rPr>
          <w:rFonts w:ascii="Times New Roman" w:eastAsia="Times New Roman" w:hAnsi="Times New Roman" w:cs="Times New Roman"/>
        </w:rPr>
      </w:pPr>
    </w:p>
    <w:p w14:paraId="73E2D024" w14:textId="10AFE3AB" w:rsidR="4343CA9B" w:rsidRDefault="00E87CFC" w:rsidP="009059C7">
      <w:pPr>
        <w:pStyle w:val="Heading3"/>
        <w:spacing w:line="48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Proposed </w:t>
      </w:r>
      <w:r w:rsidR="4343CA9B" w:rsidRPr="361BDF5F">
        <w:rPr>
          <w:rFonts w:ascii="Times New Roman" w:eastAsia="Times New Roman" w:hAnsi="Times New Roman" w:cs="Times New Roman"/>
          <w:b/>
          <w:bCs/>
          <w:color w:val="auto"/>
          <w:sz w:val="24"/>
          <w:szCs w:val="24"/>
        </w:rPr>
        <w:t>Solution</w:t>
      </w:r>
    </w:p>
    <w:p w14:paraId="25B61CDA" w14:textId="122D5E5B" w:rsidR="47476245" w:rsidRDefault="47476245" w:rsidP="009059C7">
      <w:pPr>
        <w:spacing w:before="240" w:after="240" w:line="480" w:lineRule="auto"/>
        <w:jc w:val="both"/>
        <w:rPr>
          <w:rFonts w:ascii="Times New Roman" w:eastAsia="Times New Roman" w:hAnsi="Times New Roman" w:cs="Times New Roman"/>
        </w:rPr>
      </w:pPr>
      <w:r w:rsidRPr="361BDF5F">
        <w:rPr>
          <w:rFonts w:ascii="Times New Roman" w:eastAsia="Times New Roman" w:hAnsi="Times New Roman" w:cs="Times New Roman"/>
        </w:rPr>
        <w:t xml:space="preserve">The solution determined that the optimal number of transplantation pairs is 352, supported by a cycle analysis revealing 36,256 potential 2-cycles and 0 potential 3-cycles in the dataset. </w:t>
      </w:r>
    </w:p>
    <w:p w14:paraId="17AABB99" w14:textId="3508A808" w:rsidR="00E87CFC" w:rsidRDefault="47476245" w:rsidP="009059C7">
      <w:pPr>
        <w:spacing w:before="240" w:after="240" w:line="480" w:lineRule="auto"/>
        <w:jc w:val="both"/>
        <w:rPr>
          <w:rFonts w:ascii="Times New Roman" w:eastAsia="Times New Roman" w:hAnsi="Times New Roman" w:cs="Times New Roman"/>
        </w:rPr>
      </w:pPr>
      <w:r w:rsidRPr="361BDF5F">
        <w:rPr>
          <w:rFonts w:ascii="Times New Roman" w:eastAsia="Times New Roman" w:hAnsi="Times New Roman" w:cs="Times New Roman"/>
        </w:rPr>
        <w:t xml:space="preserve">Table 1 highlights the impact of donor availability on recipient matches. Recipients with access to only one donor option had a match percentage of 45.17%, while those with two donors experienced a significantly higher match percentage of 63.03%. Interestingly, recipients with three donor </w:t>
      </w:r>
      <w:r w:rsidRPr="361BDF5F">
        <w:rPr>
          <w:rFonts w:ascii="Times New Roman" w:eastAsia="Times New Roman" w:hAnsi="Times New Roman" w:cs="Times New Roman"/>
        </w:rPr>
        <w:lastRenderedPageBreak/>
        <w:t>options failed to secure any matches, suggesting diminishing returns or possible system constraints affecting matches at higher donor levels.</w:t>
      </w:r>
    </w:p>
    <w:p w14:paraId="1AE8C25B" w14:textId="1059731C" w:rsidR="66FE169D" w:rsidRDefault="66FE169D" w:rsidP="009059C7">
      <w:pPr>
        <w:spacing w:before="240" w:after="240" w:line="480" w:lineRule="auto"/>
        <w:jc w:val="both"/>
        <w:rPr>
          <w:rFonts w:ascii="Times New Roman" w:eastAsia="Times New Roman" w:hAnsi="Times New Roman" w:cs="Times New Roman"/>
          <w:b/>
          <w:bCs/>
          <w:i/>
          <w:iCs/>
        </w:rPr>
      </w:pPr>
      <w:r w:rsidRPr="361BDF5F">
        <w:rPr>
          <w:rFonts w:ascii="Times New Roman" w:eastAsia="Times New Roman" w:hAnsi="Times New Roman" w:cs="Times New Roman"/>
          <w:i/>
          <w:iCs/>
        </w:rPr>
        <w:t xml:space="preserve">Table 1: </w:t>
      </w:r>
      <w:r w:rsidR="0F9EA2DA" w:rsidRPr="361BDF5F">
        <w:rPr>
          <w:rFonts w:ascii="Times New Roman" w:eastAsia="Times New Roman" w:hAnsi="Times New Roman" w:cs="Times New Roman"/>
          <w:i/>
          <w:iCs/>
        </w:rPr>
        <w:t>Impact of Donor Availability on Recipient Matches</w:t>
      </w:r>
    </w:p>
    <w:tbl>
      <w:tblPr>
        <w:tblStyle w:val="TableGrid"/>
        <w:tblW w:w="0" w:type="auto"/>
        <w:tblLayout w:type="fixed"/>
        <w:tblLook w:val="06A0" w:firstRow="1" w:lastRow="0" w:firstColumn="1" w:lastColumn="0" w:noHBand="1" w:noVBand="1"/>
      </w:tblPr>
      <w:tblGrid>
        <w:gridCol w:w="2340"/>
        <w:gridCol w:w="2340"/>
        <w:gridCol w:w="2340"/>
        <w:gridCol w:w="2340"/>
      </w:tblGrid>
      <w:tr w:rsidR="361BDF5F" w14:paraId="3851C066" w14:textId="77777777" w:rsidTr="361BDF5F">
        <w:trPr>
          <w:trHeight w:val="300"/>
        </w:trPr>
        <w:tc>
          <w:tcPr>
            <w:tcW w:w="2340" w:type="dxa"/>
          </w:tcPr>
          <w:p w14:paraId="2353E9BE" w14:textId="07526F50" w:rsidR="4343CA9B" w:rsidRDefault="4343CA9B" w:rsidP="009059C7">
            <w:pPr>
              <w:spacing w:line="480" w:lineRule="auto"/>
              <w:jc w:val="both"/>
              <w:rPr>
                <w:rFonts w:ascii="Times New Roman" w:eastAsia="Times New Roman" w:hAnsi="Times New Roman" w:cs="Times New Roman"/>
                <w:b/>
                <w:bCs/>
              </w:rPr>
            </w:pPr>
            <w:r w:rsidRPr="361BDF5F">
              <w:rPr>
                <w:rFonts w:ascii="Times New Roman" w:eastAsia="Times New Roman" w:hAnsi="Times New Roman" w:cs="Times New Roman"/>
                <w:b/>
                <w:bCs/>
              </w:rPr>
              <w:t># of Donors</w:t>
            </w:r>
          </w:p>
        </w:tc>
        <w:tc>
          <w:tcPr>
            <w:tcW w:w="2340" w:type="dxa"/>
          </w:tcPr>
          <w:p w14:paraId="38D35DED" w14:textId="2BC5F4BC" w:rsidR="4343CA9B" w:rsidRDefault="4343CA9B" w:rsidP="009059C7">
            <w:pPr>
              <w:spacing w:line="480" w:lineRule="auto"/>
              <w:jc w:val="both"/>
              <w:rPr>
                <w:rFonts w:ascii="Times New Roman" w:eastAsia="Times New Roman" w:hAnsi="Times New Roman" w:cs="Times New Roman"/>
                <w:b/>
                <w:bCs/>
              </w:rPr>
            </w:pPr>
            <w:r w:rsidRPr="361BDF5F">
              <w:rPr>
                <w:rFonts w:ascii="Times New Roman" w:eastAsia="Times New Roman" w:hAnsi="Times New Roman" w:cs="Times New Roman"/>
                <w:b/>
                <w:bCs/>
              </w:rPr>
              <w:t xml:space="preserve"># of Recipients </w:t>
            </w:r>
          </w:p>
        </w:tc>
        <w:tc>
          <w:tcPr>
            <w:tcW w:w="2340" w:type="dxa"/>
          </w:tcPr>
          <w:p w14:paraId="67D85973" w14:textId="4857ACDC" w:rsidR="4343CA9B" w:rsidRDefault="4343CA9B" w:rsidP="009059C7">
            <w:pPr>
              <w:spacing w:line="480" w:lineRule="auto"/>
              <w:jc w:val="both"/>
              <w:rPr>
                <w:rFonts w:ascii="Times New Roman" w:eastAsia="Times New Roman" w:hAnsi="Times New Roman" w:cs="Times New Roman"/>
                <w:b/>
                <w:bCs/>
              </w:rPr>
            </w:pPr>
            <w:r w:rsidRPr="361BDF5F">
              <w:rPr>
                <w:rFonts w:ascii="Times New Roman" w:eastAsia="Times New Roman" w:hAnsi="Times New Roman" w:cs="Times New Roman"/>
                <w:b/>
                <w:bCs/>
              </w:rPr>
              <w:t># Matched</w:t>
            </w:r>
          </w:p>
        </w:tc>
        <w:tc>
          <w:tcPr>
            <w:tcW w:w="2340" w:type="dxa"/>
          </w:tcPr>
          <w:p w14:paraId="3A41B3C3" w14:textId="296EBB6B" w:rsidR="4343CA9B" w:rsidRDefault="4343CA9B" w:rsidP="009059C7">
            <w:pPr>
              <w:spacing w:line="480" w:lineRule="auto"/>
              <w:jc w:val="both"/>
              <w:rPr>
                <w:rFonts w:ascii="Times New Roman" w:eastAsia="Times New Roman" w:hAnsi="Times New Roman" w:cs="Times New Roman"/>
                <w:b/>
                <w:bCs/>
              </w:rPr>
            </w:pPr>
            <w:r w:rsidRPr="361BDF5F">
              <w:rPr>
                <w:rFonts w:ascii="Times New Roman" w:eastAsia="Times New Roman" w:hAnsi="Times New Roman" w:cs="Times New Roman"/>
                <w:b/>
                <w:bCs/>
              </w:rPr>
              <w:t>Match Percentage</w:t>
            </w:r>
          </w:p>
        </w:tc>
      </w:tr>
      <w:tr w:rsidR="361BDF5F" w14:paraId="6AB834D4" w14:textId="77777777" w:rsidTr="361BDF5F">
        <w:trPr>
          <w:trHeight w:val="300"/>
        </w:trPr>
        <w:tc>
          <w:tcPr>
            <w:tcW w:w="2340" w:type="dxa"/>
          </w:tcPr>
          <w:p w14:paraId="7EB12646" w14:textId="1F0F3AA4" w:rsidR="4343CA9B" w:rsidRDefault="4343CA9B"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1</w:t>
            </w:r>
          </w:p>
        </w:tc>
        <w:tc>
          <w:tcPr>
            <w:tcW w:w="2340" w:type="dxa"/>
          </w:tcPr>
          <w:p w14:paraId="79C4486D" w14:textId="77733455" w:rsidR="4343CA9B" w:rsidRDefault="4343CA9B"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228</w:t>
            </w:r>
          </w:p>
        </w:tc>
        <w:tc>
          <w:tcPr>
            <w:tcW w:w="2340" w:type="dxa"/>
          </w:tcPr>
          <w:p w14:paraId="5A1F6810" w14:textId="7731028D" w:rsidR="4343CA9B" w:rsidRDefault="4343CA9B"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103</w:t>
            </w:r>
          </w:p>
        </w:tc>
        <w:tc>
          <w:tcPr>
            <w:tcW w:w="2340" w:type="dxa"/>
          </w:tcPr>
          <w:p w14:paraId="7AAB08B2" w14:textId="0D6E6ACF" w:rsidR="54352044" w:rsidRDefault="54352044"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45.17%</w:t>
            </w:r>
          </w:p>
        </w:tc>
      </w:tr>
      <w:tr w:rsidR="361BDF5F" w14:paraId="627CA961" w14:textId="77777777" w:rsidTr="361BDF5F">
        <w:trPr>
          <w:trHeight w:val="300"/>
        </w:trPr>
        <w:tc>
          <w:tcPr>
            <w:tcW w:w="2340" w:type="dxa"/>
          </w:tcPr>
          <w:p w14:paraId="7AE3FBB4" w14:textId="57DC9F69" w:rsidR="4343CA9B" w:rsidRDefault="4343CA9B"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2</w:t>
            </w:r>
          </w:p>
        </w:tc>
        <w:tc>
          <w:tcPr>
            <w:tcW w:w="2340" w:type="dxa"/>
          </w:tcPr>
          <w:p w14:paraId="07D29110" w14:textId="2E6C80D8" w:rsidR="4343CA9B" w:rsidRDefault="4343CA9B"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395</w:t>
            </w:r>
          </w:p>
        </w:tc>
        <w:tc>
          <w:tcPr>
            <w:tcW w:w="2340" w:type="dxa"/>
          </w:tcPr>
          <w:p w14:paraId="1B52C7CD" w14:textId="3F74BDC7" w:rsidR="4343CA9B" w:rsidRDefault="4343CA9B"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249</w:t>
            </w:r>
          </w:p>
        </w:tc>
        <w:tc>
          <w:tcPr>
            <w:tcW w:w="2340" w:type="dxa"/>
          </w:tcPr>
          <w:p w14:paraId="6D77F0E4" w14:textId="2BF895C1" w:rsidR="29B45019" w:rsidRDefault="29B45019"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63.03%</w:t>
            </w:r>
          </w:p>
        </w:tc>
      </w:tr>
      <w:tr w:rsidR="361BDF5F" w14:paraId="1E30462E" w14:textId="77777777" w:rsidTr="361BDF5F">
        <w:trPr>
          <w:trHeight w:val="300"/>
        </w:trPr>
        <w:tc>
          <w:tcPr>
            <w:tcW w:w="2340" w:type="dxa"/>
          </w:tcPr>
          <w:p w14:paraId="096504F3" w14:textId="388F4328" w:rsidR="361BDF5F" w:rsidRDefault="361BDF5F"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3</w:t>
            </w:r>
          </w:p>
        </w:tc>
        <w:tc>
          <w:tcPr>
            <w:tcW w:w="2340" w:type="dxa"/>
          </w:tcPr>
          <w:p w14:paraId="74B6E75E" w14:textId="183E9F18" w:rsidR="361BDF5F" w:rsidRDefault="361BDF5F"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88</w:t>
            </w:r>
          </w:p>
        </w:tc>
        <w:tc>
          <w:tcPr>
            <w:tcW w:w="2340" w:type="dxa"/>
          </w:tcPr>
          <w:p w14:paraId="53E115B0" w14:textId="122516F6" w:rsidR="361BDF5F" w:rsidRDefault="361BDF5F"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0</w:t>
            </w:r>
          </w:p>
        </w:tc>
        <w:tc>
          <w:tcPr>
            <w:tcW w:w="2340" w:type="dxa"/>
          </w:tcPr>
          <w:p w14:paraId="60535062" w14:textId="3EA03297" w:rsidR="4F29D356" w:rsidRDefault="4F29D356"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0%</w:t>
            </w:r>
          </w:p>
        </w:tc>
      </w:tr>
      <w:tr w:rsidR="361BDF5F" w14:paraId="0571897D" w14:textId="77777777" w:rsidTr="361BDF5F">
        <w:trPr>
          <w:trHeight w:val="300"/>
        </w:trPr>
        <w:tc>
          <w:tcPr>
            <w:tcW w:w="2340" w:type="dxa"/>
          </w:tcPr>
          <w:p w14:paraId="66B3EF7A" w14:textId="53A15602" w:rsidR="27982009" w:rsidRDefault="27982009" w:rsidP="009059C7">
            <w:pPr>
              <w:spacing w:line="480" w:lineRule="auto"/>
              <w:jc w:val="both"/>
              <w:rPr>
                <w:rFonts w:ascii="Times New Roman" w:eastAsia="Times New Roman" w:hAnsi="Times New Roman" w:cs="Times New Roman"/>
                <w:b/>
                <w:bCs/>
              </w:rPr>
            </w:pPr>
            <w:r w:rsidRPr="361BDF5F">
              <w:rPr>
                <w:rFonts w:ascii="Times New Roman" w:eastAsia="Times New Roman" w:hAnsi="Times New Roman" w:cs="Times New Roman"/>
                <w:b/>
                <w:bCs/>
              </w:rPr>
              <w:t>Total</w:t>
            </w:r>
          </w:p>
        </w:tc>
        <w:tc>
          <w:tcPr>
            <w:tcW w:w="2340" w:type="dxa"/>
          </w:tcPr>
          <w:p w14:paraId="0B38898D" w14:textId="45A84D72" w:rsidR="27982009" w:rsidRDefault="27982009"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711</w:t>
            </w:r>
          </w:p>
        </w:tc>
        <w:tc>
          <w:tcPr>
            <w:tcW w:w="2340" w:type="dxa"/>
          </w:tcPr>
          <w:p w14:paraId="158B18AE" w14:textId="646C14C1" w:rsidR="27982009" w:rsidRDefault="27982009"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352</w:t>
            </w:r>
          </w:p>
        </w:tc>
        <w:tc>
          <w:tcPr>
            <w:tcW w:w="2340" w:type="dxa"/>
          </w:tcPr>
          <w:p w14:paraId="65FA6303" w14:textId="5C4C4DAD" w:rsidR="361BDF5F" w:rsidRDefault="361BDF5F" w:rsidP="009059C7">
            <w:pPr>
              <w:spacing w:line="480" w:lineRule="auto"/>
              <w:jc w:val="both"/>
              <w:rPr>
                <w:rFonts w:ascii="Times New Roman" w:eastAsia="Times New Roman" w:hAnsi="Times New Roman" w:cs="Times New Roman"/>
              </w:rPr>
            </w:pPr>
          </w:p>
        </w:tc>
      </w:tr>
    </w:tbl>
    <w:p w14:paraId="61C9389F" w14:textId="386F510A" w:rsidR="009059C7" w:rsidRDefault="0E0399BC" w:rsidP="009059C7">
      <w:pPr>
        <w:spacing w:line="480" w:lineRule="auto"/>
        <w:jc w:val="both"/>
        <w:rPr>
          <w:rFonts w:ascii="Times New Roman" w:eastAsia="Times New Roman" w:hAnsi="Times New Roman" w:cs="Times New Roman"/>
        </w:rPr>
      </w:pPr>
      <w:r w:rsidRPr="361BDF5F">
        <w:rPr>
          <w:rFonts w:ascii="Times New Roman" w:eastAsia="Times New Roman" w:hAnsi="Times New Roman" w:cs="Times New Roman"/>
        </w:rPr>
        <w:t>Data derived from Python/Gurobi code in GitHub repository</w:t>
      </w:r>
    </w:p>
    <w:p w14:paraId="46232369" w14:textId="5EF3054A" w:rsidR="361BDF5F" w:rsidRDefault="0E297160" w:rsidP="009059C7">
      <w:pPr>
        <w:spacing w:before="240" w:after="240" w:line="480" w:lineRule="auto"/>
        <w:jc w:val="both"/>
        <w:rPr>
          <w:rFonts w:ascii="Times New Roman" w:eastAsia="Times New Roman" w:hAnsi="Times New Roman" w:cs="Times New Roman"/>
        </w:rPr>
      </w:pPr>
      <w:r w:rsidRPr="361BDF5F">
        <w:rPr>
          <w:rFonts w:ascii="Times New Roman" w:eastAsia="Times New Roman" w:hAnsi="Times New Roman" w:cs="Times New Roman"/>
        </w:rPr>
        <w:t xml:space="preserve">Table 2 illustrates the critical role of blood type compatibility in organ donation. Recipients with blood types A and B achieved match percentages of 75.86% and 70.12%, respectively, due to their compatibility with multiple donor blood types. However, recipients with blood type O had a 0% match rate because they can only receive transplants from O-negative donors, one of the rarest blood types, constituting just 7% of the population. </w:t>
      </w:r>
    </w:p>
    <w:p w14:paraId="5E8501FC" w14:textId="2F0F0424" w:rsidR="3E832AB8" w:rsidRDefault="3E832AB8" w:rsidP="009059C7">
      <w:pPr>
        <w:spacing w:line="480" w:lineRule="auto"/>
        <w:rPr>
          <w:rFonts w:ascii="Times New Roman" w:eastAsia="Times New Roman" w:hAnsi="Times New Roman" w:cs="Times New Roman"/>
          <w:i/>
          <w:iCs/>
        </w:rPr>
      </w:pPr>
      <w:r w:rsidRPr="361BDF5F">
        <w:rPr>
          <w:rFonts w:ascii="Times New Roman" w:eastAsia="Times New Roman" w:hAnsi="Times New Roman" w:cs="Times New Roman"/>
          <w:i/>
          <w:iCs/>
        </w:rPr>
        <w:t>Table 2: Impact of Blood Type Compatibility on Recipient Matches</w:t>
      </w:r>
    </w:p>
    <w:tbl>
      <w:tblPr>
        <w:tblStyle w:val="TableGrid"/>
        <w:tblW w:w="0" w:type="auto"/>
        <w:tblLayout w:type="fixed"/>
        <w:tblLook w:val="06A0" w:firstRow="1" w:lastRow="0" w:firstColumn="1" w:lastColumn="0" w:noHBand="1" w:noVBand="1"/>
      </w:tblPr>
      <w:tblGrid>
        <w:gridCol w:w="2340"/>
        <w:gridCol w:w="2340"/>
        <w:gridCol w:w="2340"/>
        <w:gridCol w:w="2340"/>
      </w:tblGrid>
      <w:tr w:rsidR="361BDF5F" w14:paraId="7633A58E" w14:textId="77777777" w:rsidTr="361BDF5F">
        <w:trPr>
          <w:trHeight w:val="300"/>
        </w:trPr>
        <w:tc>
          <w:tcPr>
            <w:tcW w:w="2340" w:type="dxa"/>
          </w:tcPr>
          <w:p w14:paraId="07CDA14B" w14:textId="1F7492BC" w:rsidR="3E832AB8" w:rsidRDefault="3E832AB8" w:rsidP="009059C7">
            <w:pPr>
              <w:spacing w:line="480" w:lineRule="auto"/>
            </w:pPr>
            <w:r w:rsidRPr="361BDF5F">
              <w:rPr>
                <w:rFonts w:ascii="Times New Roman" w:eastAsia="Times New Roman" w:hAnsi="Times New Roman" w:cs="Times New Roman"/>
                <w:b/>
                <w:bCs/>
              </w:rPr>
              <w:t>Blood Type</w:t>
            </w:r>
          </w:p>
        </w:tc>
        <w:tc>
          <w:tcPr>
            <w:tcW w:w="2340" w:type="dxa"/>
          </w:tcPr>
          <w:p w14:paraId="0432F3D6" w14:textId="2BC5F4BC" w:rsidR="361BDF5F" w:rsidRDefault="361BDF5F" w:rsidP="009059C7">
            <w:pPr>
              <w:spacing w:line="480" w:lineRule="auto"/>
              <w:rPr>
                <w:rFonts w:ascii="Times New Roman" w:eastAsia="Times New Roman" w:hAnsi="Times New Roman" w:cs="Times New Roman"/>
                <w:b/>
                <w:bCs/>
              </w:rPr>
            </w:pPr>
            <w:r w:rsidRPr="361BDF5F">
              <w:rPr>
                <w:rFonts w:ascii="Times New Roman" w:eastAsia="Times New Roman" w:hAnsi="Times New Roman" w:cs="Times New Roman"/>
                <w:b/>
                <w:bCs/>
              </w:rPr>
              <w:t xml:space="preserve"># of Recipients </w:t>
            </w:r>
          </w:p>
        </w:tc>
        <w:tc>
          <w:tcPr>
            <w:tcW w:w="2340" w:type="dxa"/>
          </w:tcPr>
          <w:p w14:paraId="4149B20F" w14:textId="4857ACDC" w:rsidR="361BDF5F" w:rsidRDefault="361BDF5F" w:rsidP="009059C7">
            <w:pPr>
              <w:spacing w:line="480" w:lineRule="auto"/>
              <w:rPr>
                <w:rFonts w:ascii="Times New Roman" w:eastAsia="Times New Roman" w:hAnsi="Times New Roman" w:cs="Times New Roman"/>
                <w:b/>
                <w:bCs/>
              </w:rPr>
            </w:pPr>
            <w:r w:rsidRPr="361BDF5F">
              <w:rPr>
                <w:rFonts w:ascii="Times New Roman" w:eastAsia="Times New Roman" w:hAnsi="Times New Roman" w:cs="Times New Roman"/>
                <w:b/>
                <w:bCs/>
              </w:rPr>
              <w:t># Matched</w:t>
            </w:r>
          </w:p>
        </w:tc>
        <w:tc>
          <w:tcPr>
            <w:tcW w:w="2340" w:type="dxa"/>
          </w:tcPr>
          <w:p w14:paraId="6AC733CA" w14:textId="296EBB6B" w:rsidR="361BDF5F" w:rsidRDefault="361BDF5F" w:rsidP="009059C7">
            <w:pPr>
              <w:spacing w:line="480" w:lineRule="auto"/>
              <w:rPr>
                <w:rFonts w:ascii="Times New Roman" w:eastAsia="Times New Roman" w:hAnsi="Times New Roman" w:cs="Times New Roman"/>
                <w:b/>
                <w:bCs/>
              </w:rPr>
            </w:pPr>
            <w:r w:rsidRPr="361BDF5F">
              <w:rPr>
                <w:rFonts w:ascii="Times New Roman" w:eastAsia="Times New Roman" w:hAnsi="Times New Roman" w:cs="Times New Roman"/>
                <w:b/>
                <w:bCs/>
              </w:rPr>
              <w:t>Match Percentage</w:t>
            </w:r>
          </w:p>
        </w:tc>
      </w:tr>
      <w:tr w:rsidR="361BDF5F" w14:paraId="36189B89" w14:textId="77777777" w:rsidTr="361BDF5F">
        <w:trPr>
          <w:trHeight w:val="300"/>
        </w:trPr>
        <w:tc>
          <w:tcPr>
            <w:tcW w:w="2340" w:type="dxa"/>
          </w:tcPr>
          <w:p w14:paraId="3606F6B5" w14:textId="5839E727" w:rsidR="35C2FFEF" w:rsidRDefault="35C2FFEF"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A</w:t>
            </w:r>
          </w:p>
        </w:tc>
        <w:tc>
          <w:tcPr>
            <w:tcW w:w="2340" w:type="dxa"/>
          </w:tcPr>
          <w:p w14:paraId="11E9FC86" w14:textId="58760BF5" w:rsidR="361BDF5F" w:rsidRDefault="361BDF5F"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2</w:t>
            </w:r>
            <w:r w:rsidR="0A1ED6EC" w:rsidRPr="361BDF5F">
              <w:rPr>
                <w:rFonts w:ascii="Times New Roman" w:eastAsia="Times New Roman" w:hAnsi="Times New Roman" w:cs="Times New Roman"/>
              </w:rPr>
              <w:t>32</w:t>
            </w:r>
          </w:p>
        </w:tc>
        <w:tc>
          <w:tcPr>
            <w:tcW w:w="2340" w:type="dxa"/>
          </w:tcPr>
          <w:p w14:paraId="15CB9285" w14:textId="348624FF" w:rsidR="361BDF5F" w:rsidRDefault="361BDF5F"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1</w:t>
            </w:r>
            <w:r w:rsidR="6910DB0D" w:rsidRPr="361BDF5F">
              <w:rPr>
                <w:rFonts w:ascii="Times New Roman" w:eastAsia="Times New Roman" w:hAnsi="Times New Roman" w:cs="Times New Roman"/>
              </w:rPr>
              <w:t>76</w:t>
            </w:r>
          </w:p>
        </w:tc>
        <w:tc>
          <w:tcPr>
            <w:tcW w:w="2340" w:type="dxa"/>
          </w:tcPr>
          <w:p w14:paraId="1325081F" w14:textId="699BEF50" w:rsidR="7E880DE7" w:rsidRDefault="7E880DE7"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75.86</w:t>
            </w:r>
            <w:r w:rsidR="361BDF5F" w:rsidRPr="361BDF5F">
              <w:rPr>
                <w:rFonts w:ascii="Times New Roman" w:eastAsia="Times New Roman" w:hAnsi="Times New Roman" w:cs="Times New Roman"/>
              </w:rPr>
              <w:t>%</w:t>
            </w:r>
          </w:p>
        </w:tc>
      </w:tr>
      <w:tr w:rsidR="361BDF5F" w14:paraId="7DB527BA" w14:textId="77777777" w:rsidTr="361BDF5F">
        <w:trPr>
          <w:trHeight w:val="300"/>
        </w:trPr>
        <w:tc>
          <w:tcPr>
            <w:tcW w:w="2340" w:type="dxa"/>
          </w:tcPr>
          <w:p w14:paraId="0653F5DB" w14:textId="2EDC6757" w:rsidR="4671C943" w:rsidRDefault="4671C943"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B</w:t>
            </w:r>
          </w:p>
        </w:tc>
        <w:tc>
          <w:tcPr>
            <w:tcW w:w="2340" w:type="dxa"/>
          </w:tcPr>
          <w:p w14:paraId="147C3B75" w14:textId="122A5EAD" w:rsidR="658FD706" w:rsidRDefault="658FD706"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251</w:t>
            </w:r>
          </w:p>
        </w:tc>
        <w:tc>
          <w:tcPr>
            <w:tcW w:w="2340" w:type="dxa"/>
          </w:tcPr>
          <w:p w14:paraId="5EA8AB6C" w14:textId="49C46BBE" w:rsidR="43566C51" w:rsidRDefault="43566C51"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176</w:t>
            </w:r>
          </w:p>
        </w:tc>
        <w:tc>
          <w:tcPr>
            <w:tcW w:w="2340" w:type="dxa"/>
          </w:tcPr>
          <w:p w14:paraId="2A9D1AF2" w14:textId="051739DF" w:rsidR="53071769" w:rsidRDefault="53071769"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70.12</w:t>
            </w:r>
            <w:r w:rsidR="361BDF5F" w:rsidRPr="361BDF5F">
              <w:rPr>
                <w:rFonts w:ascii="Times New Roman" w:eastAsia="Times New Roman" w:hAnsi="Times New Roman" w:cs="Times New Roman"/>
              </w:rPr>
              <w:t>%</w:t>
            </w:r>
          </w:p>
        </w:tc>
      </w:tr>
      <w:tr w:rsidR="361BDF5F" w14:paraId="3FA477E2" w14:textId="77777777" w:rsidTr="361BDF5F">
        <w:trPr>
          <w:trHeight w:val="300"/>
        </w:trPr>
        <w:tc>
          <w:tcPr>
            <w:tcW w:w="2340" w:type="dxa"/>
          </w:tcPr>
          <w:p w14:paraId="3A4E6EBC" w14:textId="597619DE" w:rsidR="3DE5133D" w:rsidRDefault="3DE5133D"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0</w:t>
            </w:r>
          </w:p>
        </w:tc>
        <w:tc>
          <w:tcPr>
            <w:tcW w:w="2340" w:type="dxa"/>
          </w:tcPr>
          <w:p w14:paraId="424BD2D8" w14:textId="6CF35A5E" w:rsidR="5968FB15" w:rsidRDefault="5968FB15"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228</w:t>
            </w:r>
          </w:p>
        </w:tc>
        <w:tc>
          <w:tcPr>
            <w:tcW w:w="2340" w:type="dxa"/>
          </w:tcPr>
          <w:p w14:paraId="604273BD" w14:textId="122516F6" w:rsidR="361BDF5F" w:rsidRDefault="361BDF5F"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0</w:t>
            </w:r>
          </w:p>
        </w:tc>
        <w:tc>
          <w:tcPr>
            <w:tcW w:w="2340" w:type="dxa"/>
          </w:tcPr>
          <w:p w14:paraId="3560721C" w14:textId="3EA03297" w:rsidR="361BDF5F" w:rsidRDefault="361BDF5F"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0%</w:t>
            </w:r>
          </w:p>
        </w:tc>
      </w:tr>
      <w:tr w:rsidR="361BDF5F" w14:paraId="7D64D5D7" w14:textId="77777777" w:rsidTr="361BDF5F">
        <w:trPr>
          <w:trHeight w:val="300"/>
        </w:trPr>
        <w:tc>
          <w:tcPr>
            <w:tcW w:w="2340" w:type="dxa"/>
          </w:tcPr>
          <w:p w14:paraId="1184EFC6" w14:textId="53A15602" w:rsidR="361BDF5F" w:rsidRDefault="361BDF5F" w:rsidP="009059C7">
            <w:pPr>
              <w:spacing w:line="480" w:lineRule="auto"/>
              <w:rPr>
                <w:rFonts w:ascii="Times New Roman" w:eastAsia="Times New Roman" w:hAnsi="Times New Roman" w:cs="Times New Roman"/>
                <w:b/>
                <w:bCs/>
              </w:rPr>
            </w:pPr>
            <w:r w:rsidRPr="361BDF5F">
              <w:rPr>
                <w:rFonts w:ascii="Times New Roman" w:eastAsia="Times New Roman" w:hAnsi="Times New Roman" w:cs="Times New Roman"/>
                <w:b/>
                <w:bCs/>
              </w:rPr>
              <w:t>Total</w:t>
            </w:r>
          </w:p>
        </w:tc>
        <w:tc>
          <w:tcPr>
            <w:tcW w:w="2340" w:type="dxa"/>
          </w:tcPr>
          <w:p w14:paraId="5BDAE6BD" w14:textId="45A84D72" w:rsidR="361BDF5F" w:rsidRDefault="361BDF5F"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711</w:t>
            </w:r>
          </w:p>
        </w:tc>
        <w:tc>
          <w:tcPr>
            <w:tcW w:w="2340" w:type="dxa"/>
          </w:tcPr>
          <w:p w14:paraId="55A827BA" w14:textId="646C14C1" w:rsidR="361BDF5F" w:rsidRDefault="361BDF5F"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352</w:t>
            </w:r>
          </w:p>
        </w:tc>
        <w:tc>
          <w:tcPr>
            <w:tcW w:w="2340" w:type="dxa"/>
          </w:tcPr>
          <w:p w14:paraId="0AA882F3" w14:textId="50C2F6A6" w:rsidR="361BDF5F" w:rsidRDefault="361BDF5F" w:rsidP="009059C7">
            <w:pPr>
              <w:spacing w:line="480" w:lineRule="auto"/>
              <w:rPr>
                <w:rFonts w:ascii="Times New Roman" w:eastAsia="Times New Roman" w:hAnsi="Times New Roman" w:cs="Times New Roman"/>
              </w:rPr>
            </w:pPr>
          </w:p>
        </w:tc>
      </w:tr>
    </w:tbl>
    <w:p w14:paraId="21532C95" w14:textId="7733F872" w:rsidR="00E87CFC" w:rsidRPr="00E87CFC" w:rsidRDefault="4D7BDA7D" w:rsidP="009059C7">
      <w:pPr>
        <w:spacing w:line="480" w:lineRule="auto"/>
        <w:rPr>
          <w:rFonts w:ascii="Times New Roman" w:eastAsia="Times New Roman" w:hAnsi="Times New Roman" w:cs="Times New Roman"/>
        </w:rPr>
      </w:pPr>
      <w:r w:rsidRPr="361BDF5F">
        <w:rPr>
          <w:rFonts w:ascii="Times New Roman" w:eastAsia="Times New Roman" w:hAnsi="Times New Roman" w:cs="Times New Roman"/>
        </w:rPr>
        <w:t>Data derived from Python/Gurobi code in GitHub repository</w:t>
      </w:r>
    </w:p>
    <w:p w14:paraId="100D2362" w14:textId="4CC2D53F" w:rsidR="3A3FF2F2" w:rsidRDefault="553A1CF3" w:rsidP="009059C7">
      <w:pPr>
        <w:pStyle w:val="Heading3"/>
        <w:spacing w:line="480" w:lineRule="auto"/>
        <w:rPr>
          <w:rFonts w:ascii="Times New Roman" w:eastAsia="Times New Roman" w:hAnsi="Times New Roman" w:cs="Times New Roman"/>
          <w:b/>
          <w:bCs/>
          <w:color w:val="auto"/>
          <w:sz w:val="24"/>
          <w:szCs w:val="24"/>
        </w:rPr>
      </w:pPr>
      <w:r w:rsidRPr="361BDF5F">
        <w:rPr>
          <w:rFonts w:ascii="Times New Roman" w:eastAsia="Times New Roman" w:hAnsi="Times New Roman" w:cs="Times New Roman"/>
          <w:b/>
          <w:bCs/>
          <w:color w:val="auto"/>
          <w:sz w:val="24"/>
          <w:szCs w:val="24"/>
        </w:rPr>
        <w:lastRenderedPageBreak/>
        <w:t>Experiment Discussion</w:t>
      </w:r>
    </w:p>
    <w:p w14:paraId="43D65DB9" w14:textId="50FC878B" w:rsidR="3A3FF2F2" w:rsidRDefault="40F0FB7F" w:rsidP="009059C7">
      <w:pPr>
        <w:spacing w:after="0" w:line="480" w:lineRule="auto"/>
        <w:jc w:val="both"/>
        <w:rPr>
          <w:rFonts w:ascii="Times New Roman" w:eastAsia="Times New Roman" w:hAnsi="Times New Roman" w:cs="Times New Roman"/>
        </w:rPr>
      </w:pPr>
      <w:r w:rsidRPr="361BDF5F">
        <w:rPr>
          <w:rFonts w:ascii="Times New Roman" w:eastAsia="Times New Roman" w:hAnsi="Times New Roman" w:cs="Times New Roman"/>
        </w:rPr>
        <w:t>The optimization model was written, combined, and solved using the Gurobi Optimizer 12.0.0 in Jupyter Notebook. The coding language used was Python</w:t>
      </w:r>
      <w:r w:rsidR="3EFF3031" w:rsidRPr="361BDF5F">
        <w:rPr>
          <w:rFonts w:ascii="Times New Roman" w:eastAsia="Times New Roman" w:hAnsi="Times New Roman" w:cs="Times New Roman"/>
        </w:rPr>
        <w:t xml:space="preserve">. </w:t>
      </w:r>
      <w:r w:rsidRPr="361BDF5F">
        <w:rPr>
          <w:rFonts w:ascii="Times New Roman" w:eastAsia="Times New Roman" w:hAnsi="Times New Roman" w:cs="Times New Roman"/>
        </w:rPr>
        <w:t xml:space="preserve">The model runs on </w:t>
      </w:r>
      <w:r w:rsidR="26C85807" w:rsidRPr="361BDF5F">
        <w:rPr>
          <w:rFonts w:ascii="Times New Roman" w:eastAsia="Times New Roman" w:hAnsi="Times New Roman" w:cs="Times New Roman"/>
        </w:rPr>
        <w:t>Apple MacBook Air M3</w:t>
      </w:r>
      <w:r w:rsidRPr="361BDF5F">
        <w:rPr>
          <w:rFonts w:ascii="Times New Roman" w:eastAsia="Times New Roman" w:hAnsi="Times New Roman" w:cs="Times New Roman"/>
        </w:rPr>
        <w:t xml:space="preserve"> Laptop with </w:t>
      </w:r>
      <w:r w:rsidR="6BC5E463" w:rsidRPr="361BDF5F">
        <w:rPr>
          <w:rFonts w:ascii="Times New Roman" w:eastAsia="Times New Roman" w:hAnsi="Times New Roman" w:cs="Times New Roman"/>
        </w:rPr>
        <w:t>16</w:t>
      </w:r>
      <w:r w:rsidRPr="361BDF5F">
        <w:rPr>
          <w:rFonts w:ascii="Times New Roman" w:eastAsia="Times New Roman" w:hAnsi="Times New Roman" w:cs="Times New Roman"/>
        </w:rPr>
        <w:t xml:space="preserve"> GB </w:t>
      </w:r>
      <w:r w:rsidR="53241DCE" w:rsidRPr="361BDF5F">
        <w:rPr>
          <w:rFonts w:ascii="Times New Roman" w:eastAsia="Times New Roman" w:hAnsi="Times New Roman" w:cs="Times New Roman"/>
        </w:rPr>
        <w:t>Memory</w:t>
      </w:r>
      <w:r w:rsidR="370FD19C" w:rsidRPr="361BDF5F">
        <w:rPr>
          <w:rFonts w:ascii="Times New Roman" w:eastAsia="Times New Roman" w:hAnsi="Times New Roman" w:cs="Times New Roman"/>
        </w:rPr>
        <w:t xml:space="preserve"> on MacOS. </w:t>
      </w:r>
    </w:p>
    <w:p w14:paraId="4E604198" w14:textId="77777777" w:rsidR="00E87CFC" w:rsidRDefault="00E87CFC" w:rsidP="009059C7">
      <w:pPr>
        <w:spacing w:after="0" w:line="480" w:lineRule="auto"/>
        <w:jc w:val="both"/>
        <w:rPr>
          <w:rFonts w:ascii="Times New Roman" w:eastAsia="Times New Roman" w:hAnsi="Times New Roman" w:cs="Times New Roman"/>
        </w:rPr>
      </w:pPr>
    </w:p>
    <w:p w14:paraId="5B22E3DA" w14:textId="45ECCFB3" w:rsidR="00E87CFC" w:rsidRPr="00E87CFC" w:rsidRDefault="00E87CFC" w:rsidP="009059C7">
      <w:pPr>
        <w:spacing w:after="0" w:line="480" w:lineRule="auto"/>
        <w:jc w:val="both"/>
        <w:rPr>
          <w:rFonts w:ascii="Times New Roman" w:eastAsia="Times New Roman" w:hAnsi="Times New Roman" w:cs="Times New Roman"/>
          <w:b/>
          <w:bCs/>
        </w:rPr>
      </w:pPr>
      <w:r w:rsidRPr="00E87CFC">
        <w:rPr>
          <w:rFonts w:ascii="Times New Roman" w:eastAsia="Times New Roman" w:hAnsi="Times New Roman" w:cs="Times New Roman"/>
          <w:b/>
          <w:bCs/>
        </w:rPr>
        <w:t>Conclusion</w:t>
      </w:r>
    </w:p>
    <w:p w14:paraId="292662D7" w14:textId="15BEF217" w:rsidR="361BDF5F" w:rsidRPr="00E87CFC" w:rsidRDefault="00E87CFC" w:rsidP="009059C7">
      <w:pPr>
        <w:spacing w:line="480" w:lineRule="auto"/>
        <w:rPr>
          <w:rFonts w:ascii="Times New Roman" w:hAnsi="Times New Roman" w:cs="Times New Roman"/>
        </w:rPr>
      </w:pPr>
      <w:r w:rsidRPr="00E87CFC">
        <w:rPr>
          <w:rFonts w:ascii="Times New Roman" w:hAnsi="Times New Roman" w:cs="Times New Roman"/>
        </w:rPr>
        <w:t>In conclusion, the analysis demonstrated that the optimal number of transplantation pairs is 352, achieved through a detailed evaluation of donor availability and blood type compatibility. The findings highlight that donor availability significantly influences match rates, with recipients having access to two donors achieving the highest match percentage of 63.03%. However, an increase to three donors resulted in no matches</w:t>
      </w:r>
      <w:r>
        <w:rPr>
          <w:rFonts w:ascii="Times New Roman" w:hAnsi="Times New Roman" w:cs="Times New Roman"/>
        </w:rPr>
        <w:t xml:space="preserve">. </w:t>
      </w:r>
      <w:r w:rsidRPr="00E87CFC">
        <w:rPr>
          <w:rFonts w:ascii="Times New Roman" w:hAnsi="Times New Roman" w:cs="Times New Roman"/>
        </w:rPr>
        <w:t xml:space="preserve">Blood type compatibility emerged as a critical factor, with recipients of blood types A and B achieving high match percentages, while type O recipients faced significant challenges due to the rarity of O-negative </w:t>
      </w:r>
      <w:r w:rsidRPr="00E87CFC">
        <w:rPr>
          <w:rFonts w:ascii="Times New Roman" w:hAnsi="Times New Roman" w:cs="Times New Roman"/>
        </w:rPr>
        <w:t>donor. These</w:t>
      </w:r>
      <w:r w:rsidRPr="00E87CFC">
        <w:rPr>
          <w:rFonts w:ascii="Times New Roman" w:hAnsi="Times New Roman" w:cs="Times New Roman"/>
        </w:rPr>
        <w:t xml:space="preserve"> insights can guide future strategies to enhance donor matching systems, particularly for recipients with rare blood types.</w:t>
      </w:r>
    </w:p>
    <w:p w14:paraId="1EE91EBE" w14:textId="0B7F58B3" w:rsidR="361BDF5F" w:rsidRDefault="361BDF5F" w:rsidP="361BDF5F">
      <w:pPr>
        <w:spacing w:after="0"/>
        <w:rPr>
          <w:rFonts w:ascii="Times New Roman" w:eastAsia="Times New Roman" w:hAnsi="Times New Roman" w:cs="Times New Roman"/>
          <w:color w:val="001D35"/>
        </w:rPr>
      </w:pPr>
    </w:p>
    <w:p w14:paraId="491FA3C4" w14:textId="78E024B8" w:rsidR="361BDF5F" w:rsidRDefault="361BDF5F" w:rsidP="361BDF5F">
      <w:pPr>
        <w:spacing w:after="0"/>
        <w:rPr>
          <w:rFonts w:ascii="Times New Roman" w:eastAsia="Times New Roman" w:hAnsi="Times New Roman" w:cs="Times New Roman"/>
          <w:color w:val="001D35"/>
        </w:rPr>
      </w:pPr>
    </w:p>
    <w:p w14:paraId="1AFE7765" w14:textId="4744F09A" w:rsidR="361BDF5F" w:rsidRDefault="361BDF5F" w:rsidP="361BDF5F">
      <w:pPr>
        <w:spacing w:after="0"/>
        <w:rPr>
          <w:rFonts w:ascii="Times New Roman" w:eastAsia="Times New Roman" w:hAnsi="Times New Roman" w:cs="Times New Roman"/>
          <w:color w:val="001D35"/>
        </w:rPr>
      </w:pPr>
    </w:p>
    <w:p w14:paraId="5F004AB7" w14:textId="3A279A75" w:rsidR="361BDF5F" w:rsidRDefault="361BDF5F" w:rsidP="361BDF5F">
      <w:pPr>
        <w:spacing w:after="0"/>
        <w:rPr>
          <w:rFonts w:ascii="Times New Roman" w:eastAsia="Times New Roman" w:hAnsi="Times New Roman" w:cs="Times New Roman"/>
          <w:color w:val="001D35"/>
        </w:rPr>
      </w:pPr>
    </w:p>
    <w:p w14:paraId="030F7435" w14:textId="13BDF9EE" w:rsidR="361BDF5F" w:rsidRDefault="361BDF5F" w:rsidP="361BDF5F">
      <w:pPr>
        <w:spacing w:after="0"/>
        <w:rPr>
          <w:rFonts w:ascii="Times New Roman" w:eastAsia="Times New Roman" w:hAnsi="Times New Roman" w:cs="Times New Roman"/>
          <w:color w:val="001D35"/>
        </w:rPr>
      </w:pPr>
    </w:p>
    <w:p w14:paraId="659749F2" w14:textId="73919CCC" w:rsidR="361BDF5F" w:rsidRDefault="361BDF5F" w:rsidP="361BDF5F">
      <w:pPr>
        <w:spacing w:after="0"/>
        <w:rPr>
          <w:rFonts w:ascii="Times New Roman" w:eastAsia="Times New Roman" w:hAnsi="Times New Roman" w:cs="Times New Roman"/>
          <w:color w:val="001D35"/>
        </w:rPr>
      </w:pPr>
    </w:p>
    <w:p w14:paraId="66415065" w14:textId="3E0661F9" w:rsidR="361BDF5F" w:rsidRDefault="361BDF5F" w:rsidP="361BDF5F">
      <w:pPr>
        <w:spacing w:after="0"/>
        <w:rPr>
          <w:rFonts w:ascii="Times New Roman" w:eastAsia="Times New Roman" w:hAnsi="Times New Roman" w:cs="Times New Roman"/>
          <w:color w:val="001D35"/>
        </w:rPr>
      </w:pPr>
    </w:p>
    <w:p w14:paraId="61B5CC1E" w14:textId="220BE9CC" w:rsidR="361BDF5F" w:rsidRDefault="361BDF5F" w:rsidP="361BDF5F">
      <w:pPr>
        <w:spacing w:after="0"/>
        <w:rPr>
          <w:rFonts w:ascii="Times New Roman" w:eastAsia="Times New Roman" w:hAnsi="Times New Roman" w:cs="Times New Roman"/>
          <w:color w:val="001D35"/>
        </w:rPr>
      </w:pPr>
    </w:p>
    <w:p w14:paraId="2EA87729" w14:textId="3A79FBF2" w:rsidR="361BDF5F" w:rsidRDefault="361BDF5F" w:rsidP="361BDF5F">
      <w:pPr>
        <w:spacing w:after="0"/>
        <w:rPr>
          <w:rFonts w:ascii="Times New Roman" w:eastAsia="Times New Roman" w:hAnsi="Times New Roman" w:cs="Times New Roman"/>
          <w:color w:val="001D35"/>
        </w:rPr>
      </w:pPr>
    </w:p>
    <w:p w14:paraId="7A95A532" w14:textId="3ED8F446" w:rsidR="361BDF5F" w:rsidRDefault="361BDF5F" w:rsidP="361BDF5F">
      <w:pPr>
        <w:spacing w:after="0"/>
        <w:rPr>
          <w:rFonts w:ascii="Times New Roman" w:eastAsia="Times New Roman" w:hAnsi="Times New Roman" w:cs="Times New Roman"/>
          <w:color w:val="001D35"/>
        </w:rPr>
      </w:pPr>
    </w:p>
    <w:p w14:paraId="7DA88BA7" w14:textId="6A3BDD1F" w:rsidR="361BDF5F" w:rsidRDefault="361BDF5F" w:rsidP="361BDF5F">
      <w:pPr>
        <w:spacing w:after="0"/>
        <w:rPr>
          <w:rFonts w:ascii="Times New Roman" w:eastAsia="Times New Roman" w:hAnsi="Times New Roman" w:cs="Times New Roman"/>
          <w:color w:val="001D35"/>
        </w:rPr>
      </w:pPr>
    </w:p>
    <w:p w14:paraId="699A548F" w14:textId="77777777" w:rsidR="009059C7" w:rsidRDefault="009059C7" w:rsidP="361BDF5F">
      <w:pPr>
        <w:spacing w:after="0"/>
        <w:rPr>
          <w:rFonts w:ascii="Times New Roman" w:eastAsia="Times New Roman" w:hAnsi="Times New Roman" w:cs="Times New Roman"/>
          <w:color w:val="001D35"/>
        </w:rPr>
      </w:pPr>
    </w:p>
    <w:p w14:paraId="4139E3FB" w14:textId="53BB7BC9" w:rsidR="361BDF5F" w:rsidRDefault="361BDF5F" w:rsidP="361BDF5F">
      <w:pPr>
        <w:spacing w:after="0"/>
        <w:rPr>
          <w:rFonts w:ascii="Times New Roman" w:eastAsia="Times New Roman" w:hAnsi="Times New Roman" w:cs="Times New Roman"/>
          <w:b/>
          <w:bCs/>
          <w:color w:val="001D35"/>
        </w:rPr>
      </w:pPr>
    </w:p>
    <w:p w14:paraId="729670E3" w14:textId="7D8902F2" w:rsidR="00C51C61" w:rsidRPr="00C51C61" w:rsidRDefault="2BB5F6B6" w:rsidP="00C51C61">
      <w:pPr>
        <w:spacing w:after="0" w:line="480" w:lineRule="auto"/>
        <w:jc w:val="center"/>
        <w:rPr>
          <w:rFonts w:ascii="Times New Roman" w:eastAsia="Times New Roman" w:hAnsi="Times New Roman" w:cs="Times New Roman"/>
          <w:b/>
          <w:bCs/>
          <w:color w:val="001D35"/>
        </w:rPr>
      </w:pPr>
      <w:r w:rsidRPr="361BDF5F">
        <w:rPr>
          <w:rFonts w:ascii="Times New Roman" w:eastAsia="Times New Roman" w:hAnsi="Times New Roman" w:cs="Times New Roman"/>
          <w:b/>
          <w:bCs/>
          <w:color w:val="001D35"/>
        </w:rPr>
        <w:lastRenderedPageBreak/>
        <w:t>References</w:t>
      </w:r>
    </w:p>
    <w:p w14:paraId="691D07D6" w14:textId="79A51982" w:rsidR="00C51C61" w:rsidRPr="00C51C61" w:rsidRDefault="00C51C61" w:rsidP="00C51C61">
      <w:pPr>
        <w:spacing w:line="480" w:lineRule="auto"/>
        <w:rPr>
          <w:rFonts w:ascii="Times New Roman" w:hAnsi="Times New Roman" w:cs="Times New Roman"/>
        </w:rPr>
      </w:pPr>
      <w:r w:rsidRPr="00C51C61">
        <w:rPr>
          <w:rFonts w:ascii="Times New Roman" w:hAnsi="Times New Roman" w:cs="Times New Roman"/>
        </w:rPr>
        <w:t xml:space="preserve">American Red Cross. “Blood Types.” </w:t>
      </w:r>
      <w:r w:rsidRPr="00C51C61">
        <w:rPr>
          <w:rFonts w:ascii="Times New Roman" w:hAnsi="Times New Roman" w:cs="Times New Roman"/>
          <w:i/>
          <w:iCs/>
        </w:rPr>
        <w:t>Facts About Blood and Blood Types</w:t>
      </w:r>
      <w:r w:rsidRPr="00C51C61">
        <w:rPr>
          <w:rFonts w:ascii="Times New Roman" w:hAnsi="Times New Roman" w:cs="Times New Roman"/>
        </w:rPr>
        <w:t xml:space="preserve">, 2024, www.redcrossblood.org/donate-blood/blood-types. </w:t>
      </w:r>
    </w:p>
    <w:p w14:paraId="19C2790E" w14:textId="3C289FD8" w:rsidR="00C51C61" w:rsidRPr="00C51C61" w:rsidRDefault="00C51C61" w:rsidP="00C51C61">
      <w:pPr>
        <w:spacing w:line="480" w:lineRule="auto"/>
        <w:rPr>
          <w:rFonts w:ascii="Times New Roman" w:hAnsi="Times New Roman" w:cs="Times New Roman"/>
        </w:rPr>
      </w:pPr>
      <w:r w:rsidRPr="00C51C61">
        <w:rPr>
          <w:rFonts w:ascii="Times New Roman" w:hAnsi="Times New Roman" w:cs="Times New Roman"/>
        </w:rPr>
        <w:t xml:space="preserve">Avrami, Chrysanthi. “Why Is Living Kidney Donation Important?” </w:t>
      </w:r>
      <w:r w:rsidRPr="00C51C61">
        <w:rPr>
          <w:rFonts w:ascii="Times New Roman" w:hAnsi="Times New Roman" w:cs="Times New Roman"/>
          <w:i/>
          <w:iCs/>
        </w:rPr>
        <w:t>Current Strategies for Living Donor Kidney Transplantation</w:t>
      </w:r>
      <w:r w:rsidRPr="00C51C61">
        <w:rPr>
          <w:rFonts w:ascii="Times New Roman" w:hAnsi="Times New Roman" w:cs="Times New Roman"/>
        </w:rPr>
        <w:t xml:space="preserve">, U.S. National Library of Medicine, 1 Jan. 1970, www.ncbi.nlm.nih.gov/books/NBK581476/. </w:t>
      </w:r>
    </w:p>
    <w:p w14:paraId="54AADF88" w14:textId="77777777" w:rsidR="00C51C61" w:rsidRPr="00C51C61" w:rsidRDefault="00C51C61" w:rsidP="00C51C61">
      <w:pPr>
        <w:spacing w:line="480" w:lineRule="auto"/>
        <w:rPr>
          <w:rFonts w:ascii="Times New Roman" w:hAnsi="Times New Roman" w:cs="Times New Roman"/>
        </w:rPr>
      </w:pPr>
      <w:r w:rsidRPr="00C51C61">
        <w:rPr>
          <w:rFonts w:ascii="Times New Roman" w:hAnsi="Times New Roman" w:cs="Times New Roman"/>
        </w:rPr>
        <w:t xml:space="preserve">Health Resources &amp; Services Administration. </w:t>
      </w:r>
      <w:r w:rsidRPr="00C51C61">
        <w:rPr>
          <w:rFonts w:ascii="Times New Roman" w:hAnsi="Times New Roman" w:cs="Times New Roman"/>
          <w:i/>
          <w:iCs/>
        </w:rPr>
        <w:t>Organ Donation Statistics</w:t>
      </w:r>
      <w:r w:rsidRPr="00C51C61">
        <w:rPr>
          <w:rFonts w:ascii="Times New Roman" w:hAnsi="Times New Roman" w:cs="Times New Roman"/>
        </w:rPr>
        <w:t xml:space="preserve">, 2024, www.organdonor.gov/learn/organ-donation-statistics. </w:t>
      </w:r>
    </w:p>
    <w:p w14:paraId="3A4E4F41" w14:textId="4BF1D45F" w:rsidR="00C51C61" w:rsidRPr="00C51C61" w:rsidRDefault="00C51C61" w:rsidP="00C51C61">
      <w:pPr>
        <w:spacing w:line="480" w:lineRule="auto"/>
        <w:rPr>
          <w:rFonts w:ascii="Times New Roman" w:hAnsi="Times New Roman" w:cs="Times New Roman"/>
        </w:rPr>
      </w:pPr>
      <w:r w:rsidRPr="00C51C61">
        <w:rPr>
          <w:rFonts w:ascii="Times New Roman" w:hAnsi="Times New Roman" w:cs="Times New Roman"/>
        </w:rPr>
        <w:t>Virginia</w:t>
      </w:r>
      <w:r w:rsidRPr="00C51C61">
        <w:rPr>
          <w:rFonts w:ascii="Times New Roman" w:hAnsi="Times New Roman" w:cs="Times New Roman"/>
        </w:rPr>
        <w:t xml:space="preserve"> Mason Franciscan Health. “Living Organ Donation.” </w:t>
      </w:r>
      <w:r w:rsidRPr="00C51C61">
        <w:rPr>
          <w:rFonts w:ascii="Times New Roman" w:hAnsi="Times New Roman" w:cs="Times New Roman"/>
          <w:i/>
          <w:iCs/>
        </w:rPr>
        <w:t>VMFH</w:t>
      </w:r>
      <w:r w:rsidRPr="00C51C61">
        <w:rPr>
          <w:rFonts w:ascii="Times New Roman" w:hAnsi="Times New Roman" w:cs="Times New Roman"/>
        </w:rPr>
        <w:t xml:space="preserve">, 2024, www.vmfh.org/our-services/kidney-care/transplant-center/living-organ-donation. </w:t>
      </w:r>
    </w:p>
    <w:p w14:paraId="7407A684" w14:textId="77777777" w:rsidR="00C51C61" w:rsidRPr="009059C7" w:rsidRDefault="00C51C61" w:rsidP="009059C7">
      <w:pPr>
        <w:rPr>
          <w:rFonts w:ascii="Times New Roman" w:hAnsi="Times New Roman" w:cs="Times New Roman"/>
        </w:rPr>
      </w:pPr>
    </w:p>
    <w:p w14:paraId="0AD80361" w14:textId="18FAC5CA" w:rsidR="3A3FF2F2" w:rsidRDefault="3A3FF2F2" w:rsidP="3A3FF2F2"/>
    <w:sectPr w:rsidR="3A3FF2F2">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1DFD6" w14:textId="77777777" w:rsidR="007118CA" w:rsidRDefault="007118CA">
      <w:pPr>
        <w:spacing w:after="0" w:line="240" w:lineRule="auto"/>
      </w:pPr>
      <w:r>
        <w:separator/>
      </w:r>
    </w:p>
  </w:endnote>
  <w:endnote w:type="continuationSeparator" w:id="0">
    <w:p w14:paraId="19B19BCE" w14:textId="77777777" w:rsidR="007118CA" w:rsidRDefault="007118CA">
      <w:pPr>
        <w:spacing w:after="0" w:line="240" w:lineRule="auto"/>
      </w:pPr>
      <w:r>
        <w:continuationSeparator/>
      </w:r>
    </w:p>
  </w:endnote>
  <w:endnote w:type="continuationNotice" w:id="1">
    <w:p w14:paraId="62694C82" w14:textId="77777777" w:rsidR="007118CA" w:rsidRDefault="00711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61BDF5F" w14:paraId="1CCAA9B2" w14:textId="77777777" w:rsidTr="361BDF5F">
      <w:trPr>
        <w:trHeight w:val="300"/>
      </w:trPr>
      <w:tc>
        <w:tcPr>
          <w:tcW w:w="3120" w:type="dxa"/>
        </w:tcPr>
        <w:p w14:paraId="460F16BF" w14:textId="2BF263E3" w:rsidR="361BDF5F" w:rsidRDefault="361BDF5F" w:rsidP="361BDF5F">
          <w:pPr>
            <w:pStyle w:val="Header"/>
            <w:ind w:left="-115"/>
          </w:pPr>
        </w:p>
      </w:tc>
      <w:tc>
        <w:tcPr>
          <w:tcW w:w="3120" w:type="dxa"/>
        </w:tcPr>
        <w:p w14:paraId="4375491C" w14:textId="65AE3C87" w:rsidR="361BDF5F" w:rsidRDefault="361BDF5F" w:rsidP="361BDF5F">
          <w:pPr>
            <w:pStyle w:val="Header"/>
            <w:jc w:val="center"/>
          </w:pPr>
        </w:p>
      </w:tc>
      <w:tc>
        <w:tcPr>
          <w:tcW w:w="3120" w:type="dxa"/>
        </w:tcPr>
        <w:p w14:paraId="0E053CD6" w14:textId="0FBC3F02" w:rsidR="361BDF5F" w:rsidRDefault="361BDF5F" w:rsidP="361BDF5F">
          <w:pPr>
            <w:pStyle w:val="Header"/>
            <w:ind w:right="-115"/>
            <w:jc w:val="right"/>
          </w:pPr>
        </w:p>
      </w:tc>
    </w:tr>
  </w:tbl>
  <w:p w14:paraId="75D1749E" w14:textId="64073249" w:rsidR="361BDF5F" w:rsidRDefault="361BDF5F" w:rsidP="361BD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9FF28" w14:textId="77777777" w:rsidR="007118CA" w:rsidRDefault="007118CA">
      <w:pPr>
        <w:spacing w:after="0" w:line="240" w:lineRule="auto"/>
      </w:pPr>
      <w:r>
        <w:separator/>
      </w:r>
    </w:p>
  </w:footnote>
  <w:footnote w:type="continuationSeparator" w:id="0">
    <w:p w14:paraId="34AB8D89" w14:textId="77777777" w:rsidR="007118CA" w:rsidRDefault="007118CA">
      <w:pPr>
        <w:spacing w:after="0" w:line="240" w:lineRule="auto"/>
      </w:pPr>
      <w:r>
        <w:continuationSeparator/>
      </w:r>
    </w:p>
  </w:footnote>
  <w:footnote w:type="continuationNotice" w:id="1">
    <w:p w14:paraId="1F69A4DD" w14:textId="77777777" w:rsidR="007118CA" w:rsidRDefault="007118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0270127"/>
      <w:docPartObj>
        <w:docPartGallery w:val="Page Numbers (Top of Page)"/>
        <w:docPartUnique/>
      </w:docPartObj>
    </w:sdtPr>
    <w:sdtContent>
      <w:p w14:paraId="28B8ADE7" w14:textId="65F12C04" w:rsidR="00E87CFC" w:rsidRDefault="00E87CFC" w:rsidP="00F901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DDA" w14:textId="77777777" w:rsidR="00E87CFC" w:rsidRDefault="00E87CFC" w:rsidP="00E87C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753245958"/>
      <w:docPartObj>
        <w:docPartGallery w:val="Page Numbers (Top of Page)"/>
        <w:docPartUnique/>
      </w:docPartObj>
    </w:sdtPr>
    <w:sdtContent>
      <w:p w14:paraId="2D1CDBAD" w14:textId="0B0A5DC2" w:rsidR="00E87CFC" w:rsidRPr="00E87CFC" w:rsidRDefault="00E87CFC" w:rsidP="00F901F8">
        <w:pPr>
          <w:pStyle w:val="Header"/>
          <w:framePr w:wrap="none" w:vAnchor="text" w:hAnchor="margin" w:xAlign="right" w:y="1"/>
          <w:rPr>
            <w:rStyle w:val="PageNumber"/>
            <w:rFonts w:ascii="Times New Roman" w:hAnsi="Times New Roman" w:cs="Times New Roman"/>
          </w:rPr>
        </w:pPr>
        <w:r w:rsidRPr="00E87CFC">
          <w:rPr>
            <w:rStyle w:val="PageNumber"/>
            <w:rFonts w:ascii="Times New Roman" w:hAnsi="Times New Roman" w:cs="Times New Roman"/>
          </w:rPr>
          <w:fldChar w:fldCharType="begin"/>
        </w:r>
        <w:r w:rsidRPr="00E87CFC">
          <w:rPr>
            <w:rStyle w:val="PageNumber"/>
            <w:rFonts w:ascii="Times New Roman" w:hAnsi="Times New Roman" w:cs="Times New Roman"/>
          </w:rPr>
          <w:instrText xml:space="preserve"> PAGE </w:instrText>
        </w:r>
        <w:r w:rsidRPr="00E87CFC">
          <w:rPr>
            <w:rStyle w:val="PageNumber"/>
            <w:rFonts w:ascii="Times New Roman" w:hAnsi="Times New Roman" w:cs="Times New Roman"/>
          </w:rPr>
          <w:fldChar w:fldCharType="separate"/>
        </w:r>
        <w:r w:rsidRPr="00E87CFC">
          <w:rPr>
            <w:rStyle w:val="PageNumber"/>
            <w:rFonts w:ascii="Times New Roman" w:hAnsi="Times New Roman" w:cs="Times New Roman"/>
            <w:noProof/>
          </w:rPr>
          <w:t>3</w:t>
        </w:r>
        <w:r w:rsidRPr="00E87CFC">
          <w:rPr>
            <w:rStyle w:val="PageNumber"/>
            <w:rFonts w:ascii="Times New Roman" w:hAnsi="Times New Roman" w:cs="Times New Roman"/>
          </w:rPr>
          <w:fldChar w:fldCharType="end"/>
        </w:r>
      </w:p>
    </w:sdtContent>
  </w:sdt>
  <w:tbl>
    <w:tblPr>
      <w:tblW w:w="0" w:type="auto"/>
      <w:tblLayout w:type="fixed"/>
      <w:tblLook w:val="06A0" w:firstRow="1" w:lastRow="0" w:firstColumn="1" w:lastColumn="0" w:noHBand="1" w:noVBand="1"/>
    </w:tblPr>
    <w:tblGrid>
      <w:gridCol w:w="3120"/>
      <w:gridCol w:w="3120"/>
      <w:gridCol w:w="3120"/>
    </w:tblGrid>
    <w:tr w:rsidR="361BDF5F" w14:paraId="56F9A635" w14:textId="77777777" w:rsidTr="361BDF5F">
      <w:trPr>
        <w:trHeight w:val="300"/>
      </w:trPr>
      <w:tc>
        <w:tcPr>
          <w:tcW w:w="3120" w:type="dxa"/>
        </w:tcPr>
        <w:p w14:paraId="0C933963" w14:textId="60BF3375" w:rsidR="361BDF5F" w:rsidRDefault="361BDF5F" w:rsidP="00E87CFC">
          <w:pPr>
            <w:pStyle w:val="Header"/>
            <w:ind w:left="-115" w:right="360"/>
          </w:pPr>
        </w:p>
      </w:tc>
      <w:tc>
        <w:tcPr>
          <w:tcW w:w="3120" w:type="dxa"/>
        </w:tcPr>
        <w:p w14:paraId="409C2983" w14:textId="04C21F4C" w:rsidR="361BDF5F" w:rsidRDefault="361BDF5F" w:rsidP="361BDF5F">
          <w:pPr>
            <w:pStyle w:val="Header"/>
            <w:jc w:val="center"/>
          </w:pPr>
        </w:p>
      </w:tc>
      <w:tc>
        <w:tcPr>
          <w:tcW w:w="3120" w:type="dxa"/>
        </w:tcPr>
        <w:p w14:paraId="41E8E29B" w14:textId="401AF013" w:rsidR="361BDF5F" w:rsidRDefault="361BDF5F" w:rsidP="361BDF5F">
          <w:pPr>
            <w:pStyle w:val="Header"/>
            <w:ind w:right="-115"/>
            <w:jc w:val="right"/>
          </w:pPr>
        </w:p>
      </w:tc>
    </w:tr>
  </w:tbl>
  <w:p w14:paraId="29AC4B43" w14:textId="24FE1BC3" w:rsidR="361BDF5F" w:rsidRDefault="361BDF5F" w:rsidP="361BDF5F">
    <w:pPr>
      <w:pStyle w:val="Header"/>
    </w:pPr>
  </w:p>
</w:hdr>
</file>

<file path=word/intelligence2.xml><?xml version="1.0" encoding="utf-8"?>
<int2:intelligence xmlns:int2="http://schemas.microsoft.com/office/intelligence/2020/intelligence" xmlns:oel="http://schemas.microsoft.com/office/2019/extlst">
  <int2:observations>
    <int2:textHash int2:hashCode="fZNQDIauWHs9n0" int2:id="EXhWwIUw">
      <int2:state int2:value="Rejected" int2:type="AugLoop_Text_Critique"/>
    </int2:textHash>
    <int2:textHash int2:hashCode="gocQfejG+1/vz3" int2:id="axwnVnPG">
      <int2:state int2:value="Rejected" int2:type="AugLoop_Text_Critique"/>
    </int2:textHash>
    <int2:textHash int2:hashCode="ZLK20Sv+S6rn2t" int2:id="i9Er3g9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DDFA"/>
    <w:multiLevelType w:val="hybridMultilevel"/>
    <w:tmpl w:val="6BE81A28"/>
    <w:lvl w:ilvl="0" w:tplc="AFF856F8">
      <w:start w:val="1"/>
      <w:numFmt w:val="bullet"/>
      <w:lvlText w:val=""/>
      <w:lvlJc w:val="left"/>
      <w:pPr>
        <w:ind w:left="720" w:hanging="360"/>
      </w:pPr>
      <w:rPr>
        <w:rFonts w:ascii="Symbol" w:hAnsi="Symbol" w:hint="default"/>
      </w:rPr>
    </w:lvl>
    <w:lvl w:ilvl="1" w:tplc="EF0C20DC">
      <w:start w:val="1"/>
      <w:numFmt w:val="bullet"/>
      <w:lvlText w:val="o"/>
      <w:lvlJc w:val="left"/>
      <w:pPr>
        <w:ind w:left="1440" w:hanging="360"/>
      </w:pPr>
      <w:rPr>
        <w:rFonts w:ascii="Courier New" w:hAnsi="Courier New" w:hint="default"/>
      </w:rPr>
    </w:lvl>
    <w:lvl w:ilvl="2" w:tplc="FB5EF8DE">
      <w:start w:val="1"/>
      <w:numFmt w:val="bullet"/>
      <w:lvlText w:val=""/>
      <w:lvlJc w:val="left"/>
      <w:pPr>
        <w:ind w:left="2160" w:hanging="360"/>
      </w:pPr>
      <w:rPr>
        <w:rFonts w:ascii="Wingdings" w:hAnsi="Wingdings" w:hint="default"/>
      </w:rPr>
    </w:lvl>
    <w:lvl w:ilvl="3" w:tplc="0E46FDC4">
      <w:start w:val="1"/>
      <w:numFmt w:val="bullet"/>
      <w:lvlText w:val=""/>
      <w:lvlJc w:val="left"/>
      <w:pPr>
        <w:ind w:left="2880" w:hanging="360"/>
      </w:pPr>
      <w:rPr>
        <w:rFonts w:ascii="Symbol" w:hAnsi="Symbol" w:hint="default"/>
      </w:rPr>
    </w:lvl>
    <w:lvl w:ilvl="4" w:tplc="02BAD996">
      <w:start w:val="1"/>
      <w:numFmt w:val="bullet"/>
      <w:lvlText w:val="o"/>
      <w:lvlJc w:val="left"/>
      <w:pPr>
        <w:ind w:left="3600" w:hanging="360"/>
      </w:pPr>
      <w:rPr>
        <w:rFonts w:ascii="Courier New" w:hAnsi="Courier New" w:hint="default"/>
      </w:rPr>
    </w:lvl>
    <w:lvl w:ilvl="5" w:tplc="CA3AD1C8">
      <w:start w:val="1"/>
      <w:numFmt w:val="bullet"/>
      <w:lvlText w:val=""/>
      <w:lvlJc w:val="left"/>
      <w:pPr>
        <w:ind w:left="4320" w:hanging="360"/>
      </w:pPr>
      <w:rPr>
        <w:rFonts w:ascii="Wingdings" w:hAnsi="Wingdings" w:hint="default"/>
      </w:rPr>
    </w:lvl>
    <w:lvl w:ilvl="6" w:tplc="82A0BA5E">
      <w:start w:val="1"/>
      <w:numFmt w:val="bullet"/>
      <w:lvlText w:val=""/>
      <w:lvlJc w:val="left"/>
      <w:pPr>
        <w:ind w:left="5040" w:hanging="360"/>
      </w:pPr>
      <w:rPr>
        <w:rFonts w:ascii="Symbol" w:hAnsi="Symbol" w:hint="default"/>
      </w:rPr>
    </w:lvl>
    <w:lvl w:ilvl="7" w:tplc="1826B6F2">
      <w:start w:val="1"/>
      <w:numFmt w:val="bullet"/>
      <w:lvlText w:val="o"/>
      <w:lvlJc w:val="left"/>
      <w:pPr>
        <w:ind w:left="5760" w:hanging="360"/>
      </w:pPr>
      <w:rPr>
        <w:rFonts w:ascii="Courier New" w:hAnsi="Courier New" w:hint="default"/>
      </w:rPr>
    </w:lvl>
    <w:lvl w:ilvl="8" w:tplc="1428BA9A">
      <w:start w:val="1"/>
      <w:numFmt w:val="bullet"/>
      <w:lvlText w:val=""/>
      <w:lvlJc w:val="left"/>
      <w:pPr>
        <w:ind w:left="6480" w:hanging="360"/>
      </w:pPr>
      <w:rPr>
        <w:rFonts w:ascii="Wingdings" w:hAnsi="Wingdings" w:hint="default"/>
      </w:rPr>
    </w:lvl>
  </w:abstractNum>
  <w:abstractNum w:abstractNumId="1" w15:restartNumberingAfterBreak="0">
    <w:nsid w:val="1B995228"/>
    <w:multiLevelType w:val="hybridMultilevel"/>
    <w:tmpl w:val="0BE248C2"/>
    <w:lvl w:ilvl="0" w:tplc="A6686312">
      <w:start w:val="1"/>
      <w:numFmt w:val="bullet"/>
      <w:lvlText w:val="-"/>
      <w:lvlJc w:val="left"/>
      <w:pPr>
        <w:ind w:left="720" w:hanging="360"/>
      </w:pPr>
      <w:rPr>
        <w:rFonts w:ascii="Aptos" w:hAnsi="Aptos" w:hint="default"/>
      </w:rPr>
    </w:lvl>
    <w:lvl w:ilvl="1" w:tplc="17EE4CA0">
      <w:start w:val="1"/>
      <w:numFmt w:val="bullet"/>
      <w:lvlText w:val="o"/>
      <w:lvlJc w:val="left"/>
      <w:pPr>
        <w:ind w:left="1440" w:hanging="360"/>
      </w:pPr>
      <w:rPr>
        <w:rFonts w:ascii="Courier New" w:hAnsi="Courier New" w:hint="default"/>
      </w:rPr>
    </w:lvl>
    <w:lvl w:ilvl="2" w:tplc="1D5E1F30">
      <w:start w:val="1"/>
      <w:numFmt w:val="bullet"/>
      <w:lvlText w:val=""/>
      <w:lvlJc w:val="left"/>
      <w:pPr>
        <w:ind w:left="2160" w:hanging="360"/>
      </w:pPr>
      <w:rPr>
        <w:rFonts w:ascii="Wingdings" w:hAnsi="Wingdings" w:hint="default"/>
      </w:rPr>
    </w:lvl>
    <w:lvl w:ilvl="3" w:tplc="B510ADF4">
      <w:start w:val="1"/>
      <w:numFmt w:val="bullet"/>
      <w:lvlText w:val=""/>
      <w:lvlJc w:val="left"/>
      <w:pPr>
        <w:ind w:left="2880" w:hanging="360"/>
      </w:pPr>
      <w:rPr>
        <w:rFonts w:ascii="Symbol" w:hAnsi="Symbol" w:hint="default"/>
      </w:rPr>
    </w:lvl>
    <w:lvl w:ilvl="4" w:tplc="EC620C4A">
      <w:start w:val="1"/>
      <w:numFmt w:val="bullet"/>
      <w:lvlText w:val="o"/>
      <w:lvlJc w:val="left"/>
      <w:pPr>
        <w:ind w:left="3600" w:hanging="360"/>
      </w:pPr>
      <w:rPr>
        <w:rFonts w:ascii="Courier New" w:hAnsi="Courier New" w:hint="default"/>
      </w:rPr>
    </w:lvl>
    <w:lvl w:ilvl="5" w:tplc="AED21C38">
      <w:start w:val="1"/>
      <w:numFmt w:val="bullet"/>
      <w:lvlText w:val=""/>
      <w:lvlJc w:val="left"/>
      <w:pPr>
        <w:ind w:left="4320" w:hanging="360"/>
      </w:pPr>
      <w:rPr>
        <w:rFonts w:ascii="Wingdings" w:hAnsi="Wingdings" w:hint="default"/>
      </w:rPr>
    </w:lvl>
    <w:lvl w:ilvl="6" w:tplc="EFBE0FC4">
      <w:start w:val="1"/>
      <w:numFmt w:val="bullet"/>
      <w:lvlText w:val=""/>
      <w:lvlJc w:val="left"/>
      <w:pPr>
        <w:ind w:left="5040" w:hanging="360"/>
      </w:pPr>
      <w:rPr>
        <w:rFonts w:ascii="Symbol" w:hAnsi="Symbol" w:hint="default"/>
      </w:rPr>
    </w:lvl>
    <w:lvl w:ilvl="7" w:tplc="0D523F06">
      <w:start w:val="1"/>
      <w:numFmt w:val="bullet"/>
      <w:lvlText w:val="o"/>
      <w:lvlJc w:val="left"/>
      <w:pPr>
        <w:ind w:left="5760" w:hanging="360"/>
      </w:pPr>
      <w:rPr>
        <w:rFonts w:ascii="Courier New" w:hAnsi="Courier New" w:hint="default"/>
      </w:rPr>
    </w:lvl>
    <w:lvl w:ilvl="8" w:tplc="1CE27342">
      <w:start w:val="1"/>
      <w:numFmt w:val="bullet"/>
      <w:lvlText w:val=""/>
      <w:lvlJc w:val="left"/>
      <w:pPr>
        <w:ind w:left="6480" w:hanging="360"/>
      </w:pPr>
      <w:rPr>
        <w:rFonts w:ascii="Wingdings" w:hAnsi="Wingdings" w:hint="default"/>
      </w:rPr>
    </w:lvl>
  </w:abstractNum>
  <w:num w:numId="1" w16cid:durableId="669720400">
    <w:abstractNumId w:val="0"/>
  </w:num>
  <w:num w:numId="2" w16cid:durableId="180866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04C2EA"/>
    <w:rsid w:val="00012CFF"/>
    <w:rsid w:val="00040404"/>
    <w:rsid w:val="00202036"/>
    <w:rsid w:val="0029480A"/>
    <w:rsid w:val="006F4ED1"/>
    <w:rsid w:val="007118CA"/>
    <w:rsid w:val="00723DC8"/>
    <w:rsid w:val="009059C7"/>
    <w:rsid w:val="00A20346"/>
    <w:rsid w:val="00A97E81"/>
    <w:rsid w:val="00AB7F71"/>
    <w:rsid w:val="00AD0004"/>
    <w:rsid w:val="00B55E43"/>
    <w:rsid w:val="00C50B1D"/>
    <w:rsid w:val="00C51C61"/>
    <w:rsid w:val="00DE1EB8"/>
    <w:rsid w:val="00E08EAE"/>
    <w:rsid w:val="00E115FA"/>
    <w:rsid w:val="00E2328D"/>
    <w:rsid w:val="00E87CFC"/>
    <w:rsid w:val="00FA7DA6"/>
    <w:rsid w:val="036D0DFF"/>
    <w:rsid w:val="03E9CB02"/>
    <w:rsid w:val="043329B7"/>
    <w:rsid w:val="04CA65DC"/>
    <w:rsid w:val="054EA064"/>
    <w:rsid w:val="05A05176"/>
    <w:rsid w:val="07FAA555"/>
    <w:rsid w:val="08B61F9D"/>
    <w:rsid w:val="095553B0"/>
    <w:rsid w:val="0972D6B6"/>
    <w:rsid w:val="09815CA2"/>
    <w:rsid w:val="09968802"/>
    <w:rsid w:val="09FC6E66"/>
    <w:rsid w:val="0A1ED6EC"/>
    <w:rsid w:val="0C04C2EA"/>
    <w:rsid w:val="0DE2B324"/>
    <w:rsid w:val="0E0399BC"/>
    <w:rsid w:val="0E0903F7"/>
    <w:rsid w:val="0E297160"/>
    <w:rsid w:val="0E785D2B"/>
    <w:rsid w:val="0E833CC2"/>
    <w:rsid w:val="0F4C86A9"/>
    <w:rsid w:val="0F7E23F4"/>
    <w:rsid w:val="0F9EA2DA"/>
    <w:rsid w:val="104A6219"/>
    <w:rsid w:val="105F92B0"/>
    <w:rsid w:val="1099700F"/>
    <w:rsid w:val="1206304D"/>
    <w:rsid w:val="12549FCF"/>
    <w:rsid w:val="12DB4CE5"/>
    <w:rsid w:val="1324C19A"/>
    <w:rsid w:val="138C0481"/>
    <w:rsid w:val="13E8C74C"/>
    <w:rsid w:val="158747BD"/>
    <w:rsid w:val="159A8D84"/>
    <w:rsid w:val="165CF522"/>
    <w:rsid w:val="1843860E"/>
    <w:rsid w:val="196064F4"/>
    <w:rsid w:val="19AE214F"/>
    <w:rsid w:val="1A35ABF5"/>
    <w:rsid w:val="1B0FA20D"/>
    <w:rsid w:val="1E91BA89"/>
    <w:rsid w:val="1EA12A15"/>
    <w:rsid w:val="1EEA8303"/>
    <w:rsid w:val="1F710E4C"/>
    <w:rsid w:val="1F988CC2"/>
    <w:rsid w:val="20DB7713"/>
    <w:rsid w:val="22516674"/>
    <w:rsid w:val="231FBBB2"/>
    <w:rsid w:val="233D6086"/>
    <w:rsid w:val="240E46E1"/>
    <w:rsid w:val="24477E4B"/>
    <w:rsid w:val="2490C3B9"/>
    <w:rsid w:val="24EBC145"/>
    <w:rsid w:val="2604B3A6"/>
    <w:rsid w:val="2619669B"/>
    <w:rsid w:val="26C85807"/>
    <w:rsid w:val="27982009"/>
    <w:rsid w:val="298AB213"/>
    <w:rsid w:val="29B45019"/>
    <w:rsid w:val="2AD74B80"/>
    <w:rsid w:val="2BB5F6B6"/>
    <w:rsid w:val="2C7479A6"/>
    <w:rsid w:val="2D96020D"/>
    <w:rsid w:val="301B50BB"/>
    <w:rsid w:val="309A76FB"/>
    <w:rsid w:val="314F4F5D"/>
    <w:rsid w:val="31A6FE11"/>
    <w:rsid w:val="32662751"/>
    <w:rsid w:val="327F6538"/>
    <w:rsid w:val="339FE910"/>
    <w:rsid w:val="33B4E727"/>
    <w:rsid w:val="34292475"/>
    <w:rsid w:val="35C2FFEF"/>
    <w:rsid w:val="361BDF5F"/>
    <w:rsid w:val="36D22F7D"/>
    <w:rsid w:val="36E6B6F8"/>
    <w:rsid w:val="370FD19C"/>
    <w:rsid w:val="374165CC"/>
    <w:rsid w:val="38500298"/>
    <w:rsid w:val="385CB4A4"/>
    <w:rsid w:val="38B27F86"/>
    <w:rsid w:val="3A3AEF96"/>
    <w:rsid w:val="3A3FF2F2"/>
    <w:rsid w:val="3AA2EC06"/>
    <w:rsid w:val="3B941605"/>
    <w:rsid w:val="3DE5133D"/>
    <w:rsid w:val="3DEC047D"/>
    <w:rsid w:val="3E65A3A5"/>
    <w:rsid w:val="3E832AB8"/>
    <w:rsid w:val="3EA9D9D1"/>
    <w:rsid w:val="3EFF3031"/>
    <w:rsid w:val="3F1C2AF9"/>
    <w:rsid w:val="3FDA01C5"/>
    <w:rsid w:val="4014ED6D"/>
    <w:rsid w:val="405AF468"/>
    <w:rsid w:val="40F0FB7F"/>
    <w:rsid w:val="42B0ADB1"/>
    <w:rsid w:val="4343CA9B"/>
    <w:rsid w:val="43566C51"/>
    <w:rsid w:val="443064EC"/>
    <w:rsid w:val="4671C943"/>
    <w:rsid w:val="47476245"/>
    <w:rsid w:val="47B61A6F"/>
    <w:rsid w:val="48764E41"/>
    <w:rsid w:val="48B11E03"/>
    <w:rsid w:val="492CF5FD"/>
    <w:rsid w:val="4B2C2DAB"/>
    <w:rsid w:val="4C69BF9B"/>
    <w:rsid w:val="4C70DCD2"/>
    <w:rsid w:val="4C768B1C"/>
    <w:rsid w:val="4CCB9A0A"/>
    <w:rsid w:val="4D4D3C49"/>
    <w:rsid w:val="4D74DF92"/>
    <w:rsid w:val="4D7BDA7D"/>
    <w:rsid w:val="4E6B93E0"/>
    <w:rsid w:val="4F29D356"/>
    <w:rsid w:val="4F43D063"/>
    <w:rsid w:val="4F55F0D1"/>
    <w:rsid w:val="4F8C9302"/>
    <w:rsid w:val="50E431EF"/>
    <w:rsid w:val="50FE6049"/>
    <w:rsid w:val="51674340"/>
    <w:rsid w:val="51771019"/>
    <w:rsid w:val="51F52BCF"/>
    <w:rsid w:val="53071769"/>
    <w:rsid w:val="5311BAD8"/>
    <w:rsid w:val="53241DCE"/>
    <w:rsid w:val="54352044"/>
    <w:rsid w:val="544FF7C4"/>
    <w:rsid w:val="547ECC95"/>
    <w:rsid w:val="55157E7A"/>
    <w:rsid w:val="553A1CF3"/>
    <w:rsid w:val="558AEEA1"/>
    <w:rsid w:val="565EA2A3"/>
    <w:rsid w:val="572BA59E"/>
    <w:rsid w:val="57383098"/>
    <w:rsid w:val="5968FB15"/>
    <w:rsid w:val="59D75A1D"/>
    <w:rsid w:val="5AD94B88"/>
    <w:rsid w:val="5ADFF286"/>
    <w:rsid w:val="5BC17EC8"/>
    <w:rsid w:val="5BE87C51"/>
    <w:rsid w:val="5BFA3368"/>
    <w:rsid w:val="5CBD3E66"/>
    <w:rsid w:val="5CE6CF4D"/>
    <w:rsid w:val="5E1AFD58"/>
    <w:rsid w:val="5F0B5EB5"/>
    <w:rsid w:val="5F7E9373"/>
    <w:rsid w:val="5F97D1F5"/>
    <w:rsid w:val="62173437"/>
    <w:rsid w:val="62A9A0F4"/>
    <w:rsid w:val="62C126C9"/>
    <w:rsid w:val="62D51AE1"/>
    <w:rsid w:val="64981D4C"/>
    <w:rsid w:val="64A45F02"/>
    <w:rsid w:val="64DEE009"/>
    <w:rsid w:val="658FD706"/>
    <w:rsid w:val="660AEDD8"/>
    <w:rsid w:val="6612F812"/>
    <w:rsid w:val="66FE169D"/>
    <w:rsid w:val="681A79D1"/>
    <w:rsid w:val="68439E73"/>
    <w:rsid w:val="68EA3677"/>
    <w:rsid w:val="6910DB0D"/>
    <w:rsid w:val="6965C773"/>
    <w:rsid w:val="6BC5E463"/>
    <w:rsid w:val="6C326DE9"/>
    <w:rsid w:val="6CE14667"/>
    <w:rsid w:val="6D98030A"/>
    <w:rsid w:val="6DBDAF09"/>
    <w:rsid w:val="6DDDEDD3"/>
    <w:rsid w:val="6DF47663"/>
    <w:rsid w:val="6EA7ADD7"/>
    <w:rsid w:val="6ED185C4"/>
    <w:rsid w:val="6F2B0983"/>
    <w:rsid w:val="70496C20"/>
    <w:rsid w:val="707A62ED"/>
    <w:rsid w:val="70FEF1DA"/>
    <w:rsid w:val="7100B855"/>
    <w:rsid w:val="71B2D7CF"/>
    <w:rsid w:val="72CFC1F8"/>
    <w:rsid w:val="72F7ACBE"/>
    <w:rsid w:val="7397A867"/>
    <w:rsid w:val="740EC8E8"/>
    <w:rsid w:val="7635C09A"/>
    <w:rsid w:val="768EBA4E"/>
    <w:rsid w:val="774549F2"/>
    <w:rsid w:val="77B4DAA1"/>
    <w:rsid w:val="78160115"/>
    <w:rsid w:val="78868CFB"/>
    <w:rsid w:val="78C7123B"/>
    <w:rsid w:val="7BF82DAA"/>
    <w:rsid w:val="7C1FB0EA"/>
    <w:rsid w:val="7D3B3D5C"/>
    <w:rsid w:val="7DA1DD86"/>
    <w:rsid w:val="7DCC0301"/>
    <w:rsid w:val="7DF06154"/>
    <w:rsid w:val="7E7B1474"/>
    <w:rsid w:val="7E880DE7"/>
    <w:rsid w:val="7ED858BF"/>
    <w:rsid w:val="7EED3814"/>
    <w:rsid w:val="7F4CCAF2"/>
    <w:rsid w:val="7FF2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C2EA"/>
  <w15:chartTrackingRefBased/>
  <w15:docId w15:val="{2D175DC1-5DED-4537-A8E3-27A0D002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A3FF2F2"/>
    <w:rPr>
      <w:color w:val="467886"/>
      <w:u w:val="single"/>
    </w:rPr>
  </w:style>
  <w:style w:type="paragraph" w:styleId="TOC3">
    <w:name w:val="toc 3"/>
    <w:basedOn w:val="Normal"/>
    <w:next w:val="Normal"/>
    <w:uiPriority w:val="39"/>
    <w:unhideWhenUsed/>
    <w:rsid w:val="361BDF5F"/>
    <w:pPr>
      <w:spacing w:after="100"/>
      <w:ind w:left="440"/>
    </w:pPr>
  </w:style>
  <w:style w:type="paragraph" w:styleId="Header">
    <w:name w:val="header"/>
    <w:basedOn w:val="Normal"/>
    <w:uiPriority w:val="99"/>
    <w:unhideWhenUsed/>
    <w:rsid w:val="361BDF5F"/>
    <w:pPr>
      <w:tabs>
        <w:tab w:val="center" w:pos="4680"/>
        <w:tab w:val="right" w:pos="9360"/>
      </w:tabs>
      <w:spacing w:after="0" w:line="240" w:lineRule="auto"/>
    </w:pPr>
  </w:style>
  <w:style w:type="paragraph" w:styleId="Footer">
    <w:name w:val="footer"/>
    <w:basedOn w:val="Normal"/>
    <w:uiPriority w:val="99"/>
    <w:unhideWhenUsed/>
    <w:rsid w:val="361BDF5F"/>
    <w:pPr>
      <w:tabs>
        <w:tab w:val="center" w:pos="4680"/>
        <w:tab w:val="right" w:pos="9360"/>
      </w:tabs>
      <w:spacing w:after="0" w:line="240" w:lineRule="auto"/>
    </w:pPr>
  </w:style>
  <w:style w:type="paragraph" w:styleId="ListParagraph">
    <w:name w:val="List Paragraph"/>
    <w:basedOn w:val="Normal"/>
    <w:uiPriority w:val="34"/>
    <w:qFormat/>
    <w:rsid w:val="361BDF5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97E81"/>
    <w:rPr>
      <w:color w:val="666666"/>
    </w:rPr>
  </w:style>
  <w:style w:type="character" w:styleId="PageNumber">
    <w:name w:val="page number"/>
    <w:basedOn w:val="DefaultParagraphFont"/>
    <w:uiPriority w:val="99"/>
    <w:semiHidden/>
    <w:unhideWhenUsed/>
    <w:rsid w:val="00E87CFC"/>
  </w:style>
  <w:style w:type="character" w:styleId="FollowedHyperlink">
    <w:name w:val="FollowedHyperlink"/>
    <w:basedOn w:val="DefaultParagraphFont"/>
    <w:uiPriority w:val="99"/>
    <w:semiHidden/>
    <w:unhideWhenUsed/>
    <w:rsid w:val="009059C7"/>
    <w:rPr>
      <w:color w:val="96607D" w:themeColor="followedHyperlink"/>
      <w:u w:val="single"/>
    </w:rPr>
  </w:style>
  <w:style w:type="character" w:styleId="UnresolvedMention">
    <w:name w:val="Unresolved Mention"/>
    <w:basedOn w:val="DefaultParagraphFont"/>
    <w:uiPriority w:val="99"/>
    <w:semiHidden/>
    <w:unhideWhenUsed/>
    <w:rsid w:val="00C51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4313">
      <w:bodyDiv w:val="1"/>
      <w:marLeft w:val="0"/>
      <w:marRight w:val="0"/>
      <w:marTop w:val="0"/>
      <w:marBottom w:val="0"/>
      <w:divBdr>
        <w:top w:val="none" w:sz="0" w:space="0" w:color="auto"/>
        <w:left w:val="none" w:sz="0" w:space="0" w:color="auto"/>
        <w:bottom w:val="none" w:sz="0" w:space="0" w:color="auto"/>
        <w:right w:val="none" w:sz="0" w:space="0" w:color="auto"/>
      </w:divBdr>
    </w:div>
    <w:div w:id="272593768">
      <w:bodyDiv w:val="1"/>
      <w:marLeft w:val="0"/>
      <w:marRight w:val="0"/>
      <w:marTop w:val="0"/>
      <w:marBottom w:val="0"/>
      <w:divBdr>
        <w:top w:val="none" w:sz="0" w:space="0" w:color="auto"/>
        <w:left w:val="none" w:sz="0" w:space="0" w:color="auto"/>
        <w:bottom w:val="none" w:sz="0" w:space="0" w:color="auto"/>
        <w:right w:val="none" w:sz="0" w:space="0" w:color="auto"/>
      </w:divBdr>
    </w:div>
    <w:div w:id="730928431">
      <w:bodyDiv w:val="1"/>
      <w:marLeft w:val="0"/>
      <w:marRight w:val="0"/>
      <w:marTop w:val="0"/>
      <w:marBottom w:val="0"/>
      <w:divBdr>
        <w:top w:val="none" w:sz="0" w:space="0" w:color="auto"/>
        <w:left w:val="none" w:sz="0" w:space="0" w:color="auto"/>
        <w:bottom w:val="none" w:sz="0" w:space="0" w:color="auto"/>
        <w:right w:val="none" w:sz="0" w:space="0" w:color="auto"/>
      </w:divBdr>
    </w:div>
    <w:div w:id="748817354">
      <w:bodyDiv w:val="1"/>
      <w:marLeft w:val="0"/>
      <w:marRight w:val="0"/>
      <w:marTop w:val="0"/>
      <w:marBottom w:val="0"/>
      <w:divBdr>
        <w:top w:val="none" w:sz="0" w:space="0" w:color="auto"/>
        <w:left w:val="none" w:sz="0" w:space="0" w:color="auto"/>
        <w:bottom w:val="none" w:sz="0" w:space="0" w:color="auto"/>
        <w:right w:val="none" w:sz="0" w:space="0" w:color="auto"/>
      </w:divBdr>
    </w:div>
    <w:div w:id="1091469272">
      <w:bodyDiv w:val="1"/>
      <w:marLeft w:val="0"/>
      <w:marRight w:val="0"/>
      <w:marTop w:val="0"/>
      <w:marBottom w:val="0"/>
      <w:divBdr>
        <w:top w:val="none" w:sz="0" w:space="0" w:color="auto"/>
        <w:left w:val="none" w:sz="0" w:space="0" w:color="auto"/>
        <w:bottom w:val="none" w:sz="0" w:space="0" w:color="auto"/>
        <w:right w:val="none" w:sz="0" w:space="0" w:color="auto"/>
      </w:divBdr>
    </w:div>
    <w:div w:id="1153522662">
      <w:bodyDiv w:val="1"/>
      <w:marLeft w:val="0"/>
      <w:marRight w:val="0"/>
      <w:marTop w:val="0"/>
      <w:marBottom w:val="0"/>
      <w:divBdr>
        <w:top w:val="none" w:sz="0" w:space="0" w:color="auto"/>
        <w:left w:val="none" w:sz="0" w:space="0" w:color="auto"/>
        <w:bottom w:val="none" w:sz="0" w:space="0" w:color="auto"/>
        <w:right w:val="none" w:sz="0" w:space="0" w:color="auto"/>
      </w:divBdr>
    </w:div>
    <w:div w:id="1361054043">
      <w:bodyDiv w:val="1"/>
      <w:marLeft w:val="0"/>
      <w:marRight w:val="0"/>
      <w:marTop w:val="0"/>
      <w:marBottom w:val="0"/>
      <w:divBdr>
        <w:top w:val="none" w:sz="0" w:space="0" w:color="auto"/>
        <w:left w:val="none" w:sz="0" w:space="0" w:color="auto"/>
        <w:bottom w:val="none" w:sz="0" w:space="0" w:color="auto"/>
        <w:right w:val="none" w:sz="0" w:space="0" w:color="auto"/>
      </w:divBdr>
    </w:div>
    <w:div w:id="211524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Links>
    <vt:vector size="30" baseType="variant">
      <vt:variant>
        <vt:i4>7798885</vt:i4>
      </vt:variant>
      <vt:variant>
        <vt:i4>12</vt:i4>
      </vt:variant>
      <vt:variant>
        <vt:i4>0</vt:i4>
      </vt:variant>
      <vt:variant>
        <vt:i4>5</vt:i4>
      </vt:variant>
      <vt:variant>
        <vt:lpwstr>https://www.redcrossblood.org/donate-blood/blood-types.html</vt:lpwstr>
      </vt:variant>
      <vt:variant>
        <vt:lpwstr>:~:text=Only%207%25%20of%20the%20population,has%20Type%20O%20negative%20blood</vt:lpwstr>
      </vt:variant>
      <vt:variant>
        <vt:i4>1507421</vt:i4>
      </vt:variant>
      <vt:variant>
        <vt:i4>9</vt:i4>
      </vt:variant>
      <vt:variant>
        <vt:i4>0</vt:i4>
      </vt:variant>
      <vt:variant>
        <vt:i4>5</vt:i4>
      </vt:variant>
      <vt:variant>
        <vt:lpwstr>https://www.ncbi.nlm.nih.gov/books/NBK581476/</vt:lpwstr>
      </vt:variant>
      <vt:variant>
        <vt:lpwstr/>
      </vt:variant>
      <vt:variant>
        <vt:i4>4653142</vt:i4>
      </vt:variant>
      <vt:variant>
        <vt:i4>6</vt:i4>
      </vt:variant>
      <vt:variant>
        <vt:i4>0</vt:i4>
      </vt:variant>
      <vt:variant>
        <vt:i4>5</vt:i4>
      </vt:variant>
      <vt:variant>
        <vt:lpwstr>https://optn.transplant.hrsa.gov/</vt:lpwstr>
      </vt:variant>
      <vt:variant>
        <vt:lpwstr/>
      </vt:variant>
      <vt:variant>
        <vt:i4>6422571</vt:i4>
      </vt:variant>
      <vt:variant>
        <vt:i4>3</vt:i4>
      </vt:variant>
      <vt:variant>
        <vt:i4>0</vt:i4>
      </vt:variant>
      <vt:variant>
        <vt:i4>5</vt:i4>
      </vt:variant>
      <vt:variant>
        <vt:lpwstr>https://www.organdonor.gov/learn/organ-donation-statistics</vt:lpwstr>
      </vt:variant>
      <vt:variant>
        <vt:lpwstr/>
      </vt:variant>
      <vt:variant>
        <vt:i4>1310737</vt:i4>
      </vt:variant>
      <vt:variant>
        <vt:i4>0</vt:i4>
      </vt:variant>
      <vt:variant>
        <vt:i4>0</vt:i4>
      </vt:variant>
      <vt:variant>
        <vt:i4>5</vt:i4>
      </vt:variant>
      <vt:variant>
        <vt:lpwstr>https://www.vmfh.org/our-services/kidney-care/transplant-center/living-organ-donation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Emma</dc:creator>
  <cp:keywords/>
  <dc:description/>
  <cp:lastModifiedBy>Arthur, Emma</cp:lastModifiedBy>
  <cp:revision>2</cp:revision>
  <dcterms:created xsi:type="dcterms:W3CDTF">2024-12-02T20:29:00Z</dcterms:created>
  <dcterms:modified xsi:type="dcterms:W3CDTF">2024-12-02T20:29:00Z</dcterms:modified>
</cp:coreProperties>
</file>