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 record is received along with its pricing admin owner and name information.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pricing admin owner is first resolved to its internal identifier. Using the resolved identifier and the supplied name, the system attempts to locate an existing ECC mapping.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exactly one matching mapping is found and an ECC value is available, the ECC value is copied to the part record.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mapping is found using both the name and pricing admin owner, the system performs a broader lookup using only the name.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exactly one mapping is found from the broader lookup and an ECC value exists, the ECC value is copied to the part record.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mappings are found during the broader lookup, no action is taken.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valid mapping exists, a new Part Noun Name ECC cross-reference record is created with the supplied name, the resolved pricing admin owner, and a null ECC value.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