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ECC derivation should be based on previously maintained mapping records.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provided pricing admin owner to identify the corresponding owner record.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 to retrieve an ECC mapping using both owner and name.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valid ECC should update the target part.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that attempt fails, perform a lookup using name only.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valid result may be used for ECC assignment.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candidates indicate uncertainty and should result in no action.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Absent mappings should be captured as a new unresolved cross-reference.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