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objective of this process is to determine whether one of the candidate configurations has sufficient historical engine population to support automatic attribute assignment.</w:t>
      </w:r>
    </w:p>
    <w:p w:rsidR="00000000" w:rsidDel="00000000" w:rsidP="00000000" w:rsidRDefault="00000000" w:rsidRPr="00000000" w14:paraId="00000002">
      <w:pPr>
        <w:spacing w:after="240" w:before="240" w:lineRule="auto"/>
        <w:rPr/>
      </w:pPr>
      <w:r w:rsidDel="00000000" w:rsidR="00000000" w:rsidRPr="00000000">
        <w:rPr>
          <w:rtl w:val="0"/>
        </w:rPr>
        <w:t xml:space="preserve">The request already contains the top three candidate design configurations identified during a previous evaluation step. These three design configuration numbers should be treated as the only configurations eligible for further analysis.</w:t>
      </w:r>
    </w:p>
    <w:p w:rsidR="00000000" w:rsidDel="00000000" w:rsidP="00000000" w:rsidRDefault="00000000" w:rsidRPr="00000000" w14:paraId="00000003">
      <w:pPr>
        <w:spacing w:after="240" w:before="240" w:lineRule="auto"/>
        <w:rPr/>
      </w:pPr>
      <w:r w:rsidDel="00000000" w:rsidR="00000000" w:rsidRPr="00000000">
        <w:rPr>
          <w:rtl w:val="0"/>
        </w:rPr>
        <w:t xml:space="preserve">Each of the candidate configurations must be evaluated against historical engine build information maintained in the engine serial number repository. The first validation step is intended to determine whether the configuration has meaningful historical presence over the last decade.</w:t>
      </w:r>
    </w:p>
    <w:p w:rsidR="00000000" w:rsidDel="00000000" w:rsidP="00000000" w:rsidRDefault="00000000" w:rsidRPr="00000000" w14:paraId="00000004">
      <w:pPr>
        <w:spacing w:after="240" w:before="240" w:lineRule="auto"/>
        <w:rPr/>
      </w:pPr>
      <w:r w:rsidDel="00000000" w:rsidR="00000000" w:rsidRPr="00000000">
        <w:rPr>
          <w:rtl w:val="0"/>
        </w:rPr>
        <w:t xml:space="preserve">For each of the three design configurations, count the number of engine serial numbers associated with that configuration where the build year falls within the last ten years. A build year qualifies when it is greater than the current year minus ten.</w:t>
      </w:r>
    </w:p>
    <w:p w:rsidR="00000000" w:rsidDel="00000000" w:rsidP="00000000" w:rsidRDefault="00000000" w:rsidRPr="00000000" w14:paraId="00000005">
      <w:pPr>
        <w:spacing w:after="240" w:before="240" w:lineRule="auto"/>
        <w:rPr/>
      </w:pPr>
      <w:r w:rsidDel="00000000" w:rsidR="00000000" w:rsidRPr="00000000">
        <w:rPr>
          <w:rtl w:val="0"/>
        </w:rPr>
        <w:t xml:space="preserve">If none of the three configurations has any engine serial number activity during the last ten years, the system should not attempt automatic configuration selection. In that situation the workflow must immediately invoke the Windchill service because there is insufficient historical evidence to make a reliable determination.</w:t>
      </w:r>
    </w:p>
    <w:p w:rsidR="00000000" w:rsidDel="00000000" w:rsidP="00000000" w:rsidRDefault="00000000" w:rsidRPr="00000000" w14:paraId="00000006">
      <w:pPr>
        <w:spacing w:after="240" w:before="240" w:lineRule="auto"/>
        <w:rPr/>
      </w:pPr>
      <w:r w:rsidDel="00000000" w:rsidR="00000000" w:rsidRPr="00000000">
        <w:rPr>
          <w:rtl w:val="0"/>
        </w:rPr>
        <w:t xml:space="preserve">If at least one of the three configurations has historical engine activity within the last ten years, further evaluation is performed.</w:t>
      </w:r>
    </w:p>
    <w:p w:rsidR="00000000" w:rsidDel="00000000" w:rsidP="00000000" w:rsidRDefault="00000000" w:rsidRPr="00000000" w14:paraId="00000007">
      <w:pPr>
        <w:spacing w:after="240" w:before="240" w:lineRule="auto"/>
        <w:rPr/>
      </w:pPr>
      <w:r w:rsidDel="00000000" w:rsidR="00000000" w:rsidRPr="00000000">
        <w:rPr>
          <w:rtl w:val="0"/>
        </w:rPr>
        <w:t xml:space="preserve">For every qualifying configuration, calculate two separate historical counts.</w:t>
      </w:r>
    </w:p>
    <w:p w:rsidR="00000000" w:rsidDel="00000000" w:rsidP="00000000" w:rsidRDefault="00000000" w:rsidRPr="00000000" w14:paraId="00000008">
      <w:pPr>
        <w:spacing w:after="240" w:before="240" w:lineRule="auto"/>
        <w:rPr/>
      </w:pPr>
      <w:r w:rsidDel="00000000" w:rsidR="00000000" w:rsidRPr="00000000">
        <w:rPr>
          <w:rtl w:val="0"/>
        </w:rPr>
        <w:t xml:space="preserve">The first count represents recent activity and is determined by counting engine serial numbers associated with the configuration where the build year falls within the last five years.</w:t>
      </w:r>
    </w:p>
    <w:p w:rsidR="00000000" w:rsidDel="00000000" w:rsidP="00000000" w:rsidRDefault="00000000" w:rsidRPr="00000000" w14:paraId="00000009">
      <w:pPr>
        <w:spacing w:after="240" w:before="240" w:lineRule="auto"/>
        <w:rPr/>
      </w:pPr>
      <w:r w:rsidDel="00000000" w:rsidR="00000000" w:rsidRPr="00000000">
        <w:rPr>
          <w:rtl w:val="0"/>
        </w:rPr>
        <w:t xml:space="preserve">The second count represents older activity and is determined by counting engine serial numbers associated with the configuration where the build year is older than five years but still falls within the last ten years.</w:t>
      </w:r>
    </w:p>
    <w:p w:rsidR="00000000" w:rsidDel="00000000" w:rsidP="00000000" w:rsidRDefault="00000000" w:rsidRPr="00000000" w14:paraId="0000000A">
      <w:pPr>
        <w:spacing w:after="240" w:before="240" w:lineRule="auto"/>
        <w:rPr/>
      </w:pPr>
      <w:r w:rsidDel="00000000" w:rsidR="00000000" w:rsidRPr="00000000">
        <w:rPr>
          <w:rtl w:val="0"/>
        </w:rPr>
        <w:t xml:space="preserve">After both counts have been calculated, compare the recent activity count with the older activity count.</w:t>
      </w:r>
    </w:p>
    <w:p w:rsidR="00000000" w:rsidDel="00000000" w:rsidP="00000000" w:rsidRDefault="00000000" w:rsidRPr="00000000" w14:paraId="0000000B">
      <w:pPr>
        <w:spacing w:after="240" w:before="240" w:lineRule="auto"/>
        <w:rPr/>
      </w:pPr>
      <w:r w:rsidDel="00000000" w:rsidR="00000000" w:rsidRPr="00000000">
        <w:rPr>
          <w:rtl w:val="0"/>
        </w:rPr>
        <w:t xml:space="preserve">A configuration only remains eligible if the recent five-year population is greater than the population observed during the prior five-year period.</w:t>
      </w:r>
    </w:p>
    <w:p w:rsidR="00000000" w:rsidDel="00000000" w:rsidP="00000000" w:rsidRDefault="00000000" w:rsidRPr="00000000" w14:paraId="0000000C">
      <w:pPr>
        <w:spacing w:after="240" w:before="240" w:lineRule="auto"/>
        <w:rPr/>
      </w:pPr>
      <w:r w:rsidDel="00000000" w:rsidR="00000000" w:rsidRPr="00000000">
        <w:rPr>
          <w:rtl w:val="0"/>
        </w:rPr>
        <w:t xml:space="preserve">Configurations that do not satisfy this condition should be excluded from consideration because they do not demonstrate increasing usage trends.</w:t>
      </w:r>
    </w:p>
    <w:p w:rsidR="00000000" w:rsidDel="00000000" w:rsidP="00000000" w:rsidRDefault="00000000" w:rsidRPr="00000000" w14:paraId="0000000D">
      <w:pPr>
        <w:spacing w:after="240" w:before="240" w:lineRule="auto"/>
        <w:rPr/>
      </w:pPr>
      <w:r w:rsidDel="00000000" w:rsidR="00000000" w:rsidRPr="00000000">
        <w:rPr>
          <w:rtl w:val="0"/>
        </w:rPr>
        <w:t xml:space="preserve">After all three configurations have been evaluated, identify the configuration that has the highest recent five-year engine count among the configurations that passed all previous checks.</w:t>
      </w:r>
    </w:p>
    <w:p w:rsidR="00000000" w:rsidDel="00000000" w:rsidP="00000000" w:rsidRDefault="00000000" w:rsidRPr="00000000" w14:paraId="0000000E">
      <w:pPr>
        <w:spacing w:after="240" w:before="240" w:lineRule="auto"/>
        <w:rPr/>
      </w:pPr>
      <w:r w:rsidDel="00000000" w:rsidR="00000000" w:rsidRPr="00000000">
        <w:rPr>
          <w:rtl w:val="0"/>
        </w:rPr>
        <w:t xml:space="preserve">If no configuration remains after applying these rules, the workflow should invoke the Windchill service because no candidate demonstrates sufficient historical relevance.</w:t>
      </w:r>
    </w:p>
    <w:p w:rsidR="00000000" w:rsidDel="00000000" w:rsidP="00000000" w:rsidRDefault="00000000" w:rsidRPr="00000000" w14:paraId="0000000F">
      <w:pPr>
        <w:spacing w:after="240" w:before="240" w:lineRule="auto"/>
        <w:rPr/>
      </w:pPr>
      <w:r w:rsidDel="00000000" w:rsidR="00000000" w:rsidRPr="00000000">
        <w:rPr>
          <w:rtl w:val="0"/>
        </w:rPr>
        <w:t xml:space="preserve">If a qualifying configuration is identified, that configuration becomes the selected configuration for subsequent processing.</w:t>
      </w:r>
    </w:p>
    <w:p w:rsidR="00000000" w:rsidDel="00000000" w:rsidP="00000000" w:rsidRDefault="00000000" w:rsidRPr="00000000" w14:paraId="00000010">
      <w:pPr>
        <w:spacing w:after="240" w:before="240" w:lineRule="auto"/>
        <w:rPr/>
      </w:pPr>
      <w:r w:rsidDel="00000000" w:rsidR="00000000" w:rsidRPr="00000000">
        <w:rPr>
          <w:rtl w:val="0"/>
        </w:rPr>
        <w:t xml:space="preserve">Using the selected configuration number, retrieve the corresponding configuration record. Once the configuration record has been located, obtain the engine model, displacement liters, certification level, market application, engine type, and fuel system type associated with that configuration.</w:t>
      </w:r>
    </w:p>
    <w:p w:rsidR="00000000" w:rsidDel="00000000" w:rsidP="00000000" w:rsidRDefault="00000000" w:rsidRPr="00000000" w14:paraId="00000011">
      <w:pPr>
        <w:spacing w:after="240" w:before="240" w:lineRule="auto"/>
        <w:rPr/>
      </w:pPr>
      <w:r w:rsidDel="00000000" w:rsidR="00000000" w:rsidRPr="00000000">
        <w:rPr>
          <w:rtl w:val="0"/>
        </w:rPr>
        <w:t xml:space="preserve">The target part record supplied in the request should then be updated using these configuration attributes. The update response must reference the same part identifier provided in the incoming request so that the correct part record receives the configuration information.</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