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enrich a part record using the most appropriate configuration determined from historical engine usage.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contains three candidate design configurations. Historical engine serial number data should be used to determine which configuration best represents current usage.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by calculating the ten-year engine population for each candidate. If none of the candidates appear within the last ten years, automatic enrichment should not occur and Windchill should be triggered.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or more configurations demonstrate historical activity, continue by evaluating usage trends.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configuration, calculate engine population during the last five years and engine population during the earlier five-year period.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configuration is considered valid only when recent population exceeds prior population.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all valid configurations and select the configuration with the highest recent population count.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valid configuration exists, invoke Windchill.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configuration has been selected, retrieve the corresponding configuration record. Obtain engine model, displacement liters, certification level, market application, engine type, and fuel system type.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target part record using these attributes and the uuid supplied in the request. The selected configuration becomes the authoritative source for populating the engine-related fields on the part.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