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process is responsible for selecting the most historically relevant engine configuration from a set of three candidate configurations.</w:t>
      </w:r>
    </w:p>
    <w:p w:rsidR="00000000" w:rsidDel="00000000" w:rsidP="00000000" w:rsidRDefault="00000000" w:rsidRPr="00000000" w14:paraId="00000002">
      <w:pPr>
        <w:spacing w:after="240" w:before="240" w:lineRule="auto"/>
        <w:rPr/>
      </w:pPr>
      <w:r w:rsidDel="00000000" w:rsidR="00000000" w:rsidRPr="00000000">
        <w:rPr>
          <w:rtl w:val="0"/>
        </w:rPr>
        <w:t xml:space="preserve">The incoming request contains three design configuration numbers that were previously ranked and selected. These configurations should be analyzed using engine build history before any attributes are copied to a part.</w:t>
      </w:r>
    </w:p>
    <w:p w:rsidR="00000000" w:rsidDel="00000000" w:rsidP="00000000" w:rsidRDefault="00000000" w:rsidRPr="00000000" w14:paraId="00000003">
      <w:pPr>
        <w:spacing w:after="240" w:before="240" w:lineRule="auto"/>
        <w:rPr/>
      </w:pPr>
      <w:r w:rsidDel="00000000" w:rsidR="00000000" w:rsidRPr="00000000">
        <w:rPr>
          <w:rtl w:val="0"/>
        </w:rPr>
        <w:t xml:space="preserve">The first objective is to determine whether any of the candidate configurations have been actively used during the last ten years. Historical usage is measured by counting engine serial numbers linked to each configuration.</w:t>
      </w:r>
    </w:p>
    <w:p w:rsidR="00000000" w:rsidDel="00000000" w:rsidP="00000000" w:rsidRDefault="00000000" w:rsidRPr="00000000" w14:paraId="00000004">
      <w:pPr>
        <w:spacing w:after="240" w:before="240" w:lineRule="auto"/>
        <w:rPr/>
      </w:pPr>
      <w:r w:rsidDel="00000000" w:rsidR="00000000" w:rsidRPr="00000000">
        <w:rPr>
          <w:rtl w:val="0"/>
        </w:rPr>
        <w:t xml:space="preserve">For every candidate configuration, calculate the total number of engine serial numbers whose build year is within the last ten years.</w:t>
      </w:r>
    </w:p>
    <w:p w:rsidR="00000000" w:rsidDel="00000000" w:rsidP="00000000" w:rsidRDefault="00000000" w:rsidRPr="00000000" w14:paraId="00000005">
      <w:pPr>
        <w:spacing w:after="240" w:before="240" w:lineRule="auto"/>
        <w:rPr/>
      </w:pPr>
      <w:r w:rsidDel="00000000" w:rsidR="00000000" w:rsidRPr="00000000">
        <w:rPr>
          <w:rtl w:val="0"/>
        </w:rPr>
        <w:t xml:space="preserve">A configuration is considered historically active if at least one engine serial number exists during that time period.</w:t>
      </w:r>
    </w:p>
    <w:p w:rsidR="00000000" w:rsidDel="00000000" w:rsidP="00000000" w:rsidRDefault="00000000" w:rsidRPr="00000000" w14:paraId="00000006">
      <w:pPr>
        <w:spacing w:after="240" w:before="240" w:lineRule="auto"/>
        <w:rPr/>
      </w:pPr>
      <w:r w:rsidDel="00000000" w:rsidR="00000000" w:rsidRPr="00000000">
        <w:rPr>
          <w:rtl w:val="0"/>
        </w:rPr>
        <w:t xml:space="preserve">If all three configurations have zero activity during the last ten years, automatic processing must stop and the Windchill service must be triggered. This indicates that none of the candidate configurations have meaningful historical evidence.</w:t>
      </w:r>
    </w:p>
    <w:p w:rsidR="00000000" w:rsidDel="00000000" w:rsidP="00000000" w:rsidRDefault="00000000" w:rsidRPr="00000000" w14:paraId="00000007">
      <w:pPr>
        <w:spacing w:after="240" w:before="240" w:lineRule="auto"/>
        <w:rPr/>
      </w:pPr>
      <w:r w:rsidDel="00000000" w:rsidR="00000000" w:rsidRPr="00000000">
        <w:rPr>
          <w:rtl w:val="0"/>
        </w:rPr>
        <w:t xml:space="preserve">When one or more configurations show activity within the last ten years, a trend analysis must be performed.</w:t>
      </w:r>
    </w:p>
    <w:p w:rsidR="00000000" w:rsidDel="00000000" w:rsidP="00000000" w:rsidRDefault="00000000" w:rsidRPr="00000000" w14:paraId="00000008">
      <w:pPr>
        <w:spacing w:after="240" w:before="240" w:lineRule="auto"/>
        <w:rPr/>
      </w:pPr>
      <w:r w:rsidDel="00000000" w:rsidR="00000000" w:rsidRPr="00000000">
        <w:rPr>
          <w:rtl w:val="0"/>
        </w:rPr>
        <w:t xml:space="preserve">For each active configuration, calculate the number of engine serial numbers built during the most recent five-year period.</w:t>
      </w:r>
    </w:p>
    <w:p w:rsidR="00000000" w:rsidDel="00000000" w:rsidP="00000000" w:rsidRDefault="00000000" w:rsidRPr="00000000" w14:paraId="00000009">
      <w:pPr>
        <w:spacing w:after="240" w:before="240" w:lineRule="auto"/>
        <w:rPr/>
      </w:pPr>
      <w:r w:rsidDel="00000000" w:rsidR="00000000" w:rsidRPr="00000000">
        <w:rPr>
          <w:rtl w:val="0"/>
        </w:rPr>
        <w:t xml:space="preserve">Next, calculate the number of engine serial numbers built during the earlier five-year period that falls between five and ten years ago.</w:t>
      </w:r>
    </w:p>
    <w:p w:rsidR="00000000" w:rsidDel="00000000" w:rsidP="00000000" w:rsidRDefault="00000000" w:rsidRPr="00000000" w14:paraId="0000000A">
      <w:pPr>
        <w:spacing w:after="240" w:before="240" w:lineRule="auto"/>
        <w:rPr/>
      </w:pPr>
      <w:r w:rsidDel="00000000" w:rsidR="00000000" w:rsidRPr="00000000">
        <w:rPr>
          <w:rtl w:val="0"/>
        </w:rPr>
        <w:t xml:space="preserve">The purpose of these calculations is to identify whether the configuration is becoming more common or less common over time.</w:t>
      </w:r>
    </w:p>
    <w:p w:rsidR="00000000" w:rsidDel="00000000" w:rsidP="00000000" w:rsidRDefault="00000000" w:rsidRPr="00000000" w14:paraId="0000000B">
      <w:pPr>
        <w:spacing w:after="240" w:before="240" w:lineRule="auto"/>
        <w:rPr/>
      </w:pPr>
      <w:r w:rsidDel="00000000" w:rsidR="00000000" w:rsidRPr="00000000">
        <w:rPr>
          <w:rtl w:val="0"/>
        </w:rPr>
        <w:t xml:space="preserve">Only configurations whose recent five-year population exceeds their prior five-year population should remain under consideration.</w:t>
      </w:r>
    </w:p>
    <w:p w:rsidR="00000000" w:rsidDel="00000000" w:rsidP="00000000" w:rsidRDefault="00000000" w:rsidRPr="00000000" w14:paraId="0000000C">
      <w:pPr>
        <w:spacing w:after="240" w:before="240" w:lineRule="auto"/>
        <w:rPr/>
      </w:pPr>
      <w:r w:rsidDel="00000000" w:rsidR="00000000" w:rsidRPr="00000000">
        <w:rPr>
          <w:rtl w:val="0"/>
        </w:rPr>
        <w:t xml:space="preserve">Configurations failing this trend requirement must be discarded.</w:t>
      </w:r>
    </w:p>
    <w:p w:rsidR="00000000" w:rsidDel="00000000" w:rsidP="00000000" w:rsidRDefault="00000000" w:rsidRPr="00000000" w14:paraId="0000000D">
      <w:pPr>
        <w:spacing w:after="240" w:before="240" w:lineRule="auto"/>
        <w:rPr/>
      </w:pPr>
      <w:r w:rsidDel="00000000" w:rsidR="00000000" w:rsidRPr="00000000">
        <w:rPr>
          <w:rtl w:val="0"/>
        </w:rPr>
        <w:t xml:space="preserve">Among the remaining configurations, compare the recent five-year counts and select the configuration with the highest value.</w:t>
      </w:r>
    </w:p>
    <w:p w:rsidR="00000000" w:rsidDel="00000000" w:rsidP="00000000" w:rsidRDefault="00000000" w:rsidRPr="00000000" w14:paraId="0000000E">
      <w:pPr>
        <w:spacing w:after="240" w:before="240" w:lineRule="auto"/>
        <w:rPr/>
      </w:pPr>
      <w:r w:rsidDel="00000000" w:rsidR="00000000" w:rsidRPr="00000000">
        <w:rPr>
          <w:rtl w:val="0"/>
        </w:rPr>
        <w:t xml:space="preserve">The selected configuration is treated as the preferred configuration because it demonstrates both historical presence and increasing usage.</w:t>
      </w:r>
    </w:p>
    <w:p w:rsidR="00000000" w:rsidDel="00000000" w:rsidP="00000000" w:rsidRDefault="00000000" w:rsidRPr="00000000" w14:paraId="0000000F">
      <w:pPr>
        <w:spacing w:after="240" w:before="240" w:lineRule="auto"/>
        <w:rPr/>
      </w:pPr>
      <w:r w:rsidDel="00000000" w:rsidR="00000000" w:rsidRPr="00000000">
        <w:rPr>
          <w:rtl w:val="0"/>
        </w:rPr>
        <w:t xml:space="preserve">If no configuration survives the evaluation process, the Windchill service must be triggered.</w:t>
      </w:r>
    </w:p>
    <w:p w:rsidR="00000000" w:rsidDel="00000000" w:rsidP="00000000" w:rsidRDefault="00000000" w:rsidRPr="00000000" w14:paraId="00000010">
      <w:pPr>
        <w:spacing w:after="240" w:before="240" w:lineRule="auto"/>
        <w:rPr/>
      </w:pPr>
      <w:r w:rsidDel="00000000" w:rsidR="00000000" w:rsidRPr="00000000">
        <w:rPr>
          <w:rtl w:val="0"/>
        </w:rPr>
        <w:t xml:space="preserve">When a preferred configuration is successfully identified, retrieve its configuration details and obtain the engine model, displacement liters, certification level, market application, engine type, and fuel system type.</w:t>
      </w:r>
    </w:p>
    <w:p w:rsidR="00000000" w:rsidDel="00000000" w:rsidP="00000000" w:rsidRDefault="00000000" w:rsidRPr="00000000" w14:paraId="00000011">
      <w:pPr>
        <w:spacing w:after="240" w:before="240" w:lineRule="auto"/>
        <w:rPr/>
      </w:pPr>
      <w:r w:rsidDel="00000000" w:rsidR="00000000" w:rsidRPr="00000000">
        <w:rPr>
          <w:rtl w:val="0"/>
        </w:rPr>
        <w:t xml:space="preserve">These values should then be written to the target part record identified in the request. The update operation must preserve the request uuid so that the correct part receives the selected configuration attributes.</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