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purpose of this process is to determine whether sufficient historical engine activity exists to support automatic configuration assignment. The request contains the three highest-ranked design configuration numbers identified during earlier processing. These three configurations should be evaluated before any configuration attributes are copied to the target part.</w:t>
      </w:r>
    </w:p>
    <w:p w:rsidR="00000000" w:rsidDel="00000000" w:rsidP="00000000" w:rsidRDefault="00000000" w:rsidRPr="00000000" w14:paraId="00000002">
      <w:pPr>
        <w:spacing w:after="240" w:before="240" w:lineRule="auto"/>
        <w:rPr/>
      </w:pPr>
      <w:r w:rsidDel="00000000" w:rsidR="00000000" w:rsidRPr="00000000">
        <w:rPr>
          <w:rtl w:val="0"/>
        </w:rPr>
        <w:t xml:space="preserve">Begin by reviewing each candidate configuration independently. For every configuration, determine how many engine serial numbers are associated with that configuration during the last ten years. Only engine records whose build year falls within the most recent ten-year period should be included in this calculation.</w:t>
      </w:r>
    </w:p>
    <w:p w:rsidR="00000000" w:rsidDel="00000000" w:rsidP="00000000" w:rsidRDefault="00000000" w:rsidRPr="00000000" w14:paraId="00000003">
      <w:pPr>
        <w:spacing w:after="240" w:before="240" w:lineRule="auto"/>
        <w:rPr/>
      </w:pPr>
      <w:r w:rsidDel="00000000" w:rsidR="00000000" w:rsidRPr="00000000">
        <w:rPr>
          <w:rtl w:val="0"/>
        </w:rPr>
        <w:t xml:space="preserve">The existence of historical activity is a prerequisite for automatic selection. If all three configurations show zero engine population during the last ten years, automatic processing must not continue. In this situation the workflow should invoke the Windchill service because there is insufficient historical evidence to justify selecting any of the candidate configurations.</w:t>
      </w:r>
    </w:p>
    <w:p w:rsidR="00000000" w:rsidDel="00000000" w:rsidP="00000000" w:rsidRDefault="00000000" w:rsidRPr="00000000" w14:paraId="00000004">
      <w:pPr>
        <w:spacing w:after="240" w:before="240" w:lineRule="auto"/>
        <w:rPr/>
      </w:pPr>
      <w:r w:rsidDel="00000000" w:rsidR="00000000" w:rsidRPr="00000000">
        <w:rPr>
          <w:rtl w:val="0"/>
        </w:rPr>
        <w:t xml:space="preserve">When at least one candidate configuration demonstrates historical presence, perform a trend comparison. For each configuration, calculate the number of engine serial numbers built during the most recent five-year period. This value represents current configuration adoption.</w:t>
      </w:r>
    </w:p>
    <w:p w:rsidR="00000000" w:rsidDel="00000000" w:rsidP="00000000" w:rsidRDefault="00000000" w:rsidRPr="00000000" w14:paraId="00000005">
      <w:pPr>
        <w:spacing w:after="240" w:before="240" w:lineRule="auto"/>
        <w:rPr/>
      </w:pPr>
      <w:r w:rsidDel="00000000" w:rsidR="00000000" w:rsidRPr="00000000">
        <w:rPr>
          <w:rtl w:val="0"/>
        </w:rPr>
        <w:t xml:space="preserve">Next, calculate the number of engine serial numbers built during the earlier five-year period that falls between five and ten years ago. This value represents historical adoption.</w:t>
      </w:r>
    </w:p>
    <w:p w:rsidR="00000000" w:rsidDel="00000000" w:rsidP="00000000" w:rsidRDefault="00000000" w:rsidRPr="00000000" w14:paraId="00000006">
      <w:pPr>
        <w:spacing w:after="240" w:before="240" w:lineRule="auto"/>
        <w:rPr/>
      </w:pPr>
      <w:r w:rsidDel="00000000" w:rsidR="00000000" w:rsidRPr="00000000">
        <w:rPr>
          <w:rtl w:val="0"/>
        </w:rPr>
        <w:t xml:space="preserve">Compare the two values for each configuration. Only configurations where recent adoption exceeds historical adoption should remain eligible for consideration.</w:t>
      </w:r>
    </w:p>
    <w:p w:rsidR="00000000" w:rsidDel="00000000" w:rsidP="00000000" w:rsidRDefault="00000000" w:rsidRPr="00000000" w14:paraId="00000007">
      <w:pPr>
        <w:spacing w:after="240" w:before="240" w:lineRule="auto"/>
        <w:rPr/>
      </w:pPr>
      <w:r w:rsidDel="00000000" w:rsidR="00000000" w:rsidRPr="00000000">
        <w:rPr>
          <w:rtl w:val="0"/>
        </w:rPr>
        <w:t xml:space="preserve">After eliminating configurations that fail the trend requirement, compare the remaining candidates. Select the configuration with the largest recent five-year engine population. This configuration is considered the preferred configuration because it demonstrates both historical presence and increasing usage.</w:t>
      </w:r>
    </w:p>
    <w:p w:rsidR="00000000" w:rsidDel="00000000" w:rsidP="00000000" w:rsidRDefault="00000000" w:rsidRPr="00000000" w14:paraId="00000008">
      <w:pPr>
        <w:spacing w:after="240" w:before="240" w:lineRule="auto"/>
        <w:rPr/>
      </w:pPr>
      <w:r w:rsidDel="00000000" w:rsidR="00000000" w:rsidRPr="00000000">
        <w:rPr>
          <w:rtl w:val="0"/>
        </w:rPr>
        <w:t xml:space="preserve">If no configuration remains eligible after applying the trend rules, invoke the Windchill service.</w:t>
      </w:r>
    </w:p>
    <w:p w:rsidR="00000000" w:rsidDel="00000000" w:rsidP="00000000" w:rsidRDefault="00000000" w:rsidRPr="00000000" w14:paraId="00000009">
      <w:pPr>
        <w:spacing w:after="240" w:before="240" w:lineRule="auto"/>
        <w:rPr/>
      </w:pPr>
      <w:r w:rsidDel="00000000" w:rsidR="00000000" w:rsidRPr="00000000">
        <w:rPr>
          <w:rtl w:val="0"/>
        </w:rPr>
        <w:t xml:space="preserve">For the selected configuration, retrieve the corresponding configuration details and obtain engine model, displacement liters, certification level, market application, engine type, and fuel system type. Update the target part using these values and use the request uuid to identify the part record that should be updated.</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