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 includes three design configurations that require validation against historical engine build information before configuration attributes can be assigned.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stage of evaluation focuses on historical existence. For each configuration, determine whether engine serial numbers associated with that configuration have been built within the last ten years.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all three configurations lack engine population during this period, no configuration can be considered trustworthy. The workflow should therefore invoke the Windchill service and stop further evaluation.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at least one configuration demonstrates historical population, continue by analyzing population trends.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configuration, calculate the engine population observed during the last five years. Separately calculate the population observed during the five-year period immediately before that.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Configurations whose recent population does not exceed historical population should be discarded.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remaining configurations represent candidates with positive growth characteristics. Compare the recent five-year counts for all remaining candidates and identify the configuration with the highest value.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configuration survives the evaluation process, invoke Windchill.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selected configuration, retrieve all relevant configuration attributes. These include engine model, displacement liters, certification level, market application, engine type, and fuel system type.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attributes to update the target part record identified by the uuid received in the request.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