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candidate design configurations have been supplied for automatic verification.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candidate must first be mapped to the configuration repository so that engine model and displacement liters can be retrieved.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retrieved engine models should then be compared. Automatic selection is allowed only when all three values are equal.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displacement values should also be compared. The maximum displacement value and minimum displacement value must differ by less than four liters.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of either comparison requires routing to the Criteria 3 service together with the three candidate configurations.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comparisons succeed, the first-ranked configuration should be considered the preferred configuration.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engine model, displacement liters, certification level, market_application, engine_type, and fuel_system_type from the selected configuration and update the target part referenced by the request uuid.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