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candidate design configurations have been provided for evaluation. The objective is to determine whether the candidates are similar enough to support automatic engine attribute assignment.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configuration must first be mapped to its corresponding configuration record. The engine model and displacement liters values should be retrieved from each configuration.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engine model values should then be compared across all three configurations. A mismatch indicates that the candidates belong to different engine families and therefore require additional review.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all engine model values are identical, continue by examining displacement liters.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overall spread between the highest displacement value and the lowest displacement value among the three configurations.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spread below four liters indicates acceptable similarity. A spread of four liters or greater indicates that the candidates may represent materially different engine configurations.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engine models differ or the displacement spread exceeds the allowable threshold, the workflow must invoke the Criteria 3 service and pass all three design configuration numbers to that service.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consistency requirements are satisfied, the first-ranked configuration should be selected without further comparison.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configuration should then be used to retrieve engine model, displacement liters, certification level, market application, engine type, and fuel system type.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should be copied to the target part record referenced by the uuid supplied in the request.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