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incoming request contains the top three candidate design configurations that have already been ranked by a previous process.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using any configuration to populate part attributes, verify that the candidates are sufficiently aligned.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candidate configuration, retrieve engine model and displacement liters from the configuration repository.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validation requires all retrieved engine model values to be identical. If even one configuration has a different engine model, the candidates should not be considered equivalent.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validation requires the displacement values to remain reasonably close to each other. Calculate the difference between the maximum displacement value and the minimum displacement value.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that difference is less than four liters, the validation succeeds.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either validation fails, invoke the Criteria 3 service and provide the three design configuration numbers for additional analysis.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validation succeeds, use the highest-ranked configuration, which is the first configuration in the incoming list.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all engine-related attributes associated with the selected configuration and update the target part record using the request uuid.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