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evaluates whether the three highest-ranked design configurations represent a common configuration family.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candidate design configuration, locate the corresponding configuration record and retrieve engine model and displacement liters.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engine model values must match exactly. This requirement ensures that the candidates belong to the same engine family.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calculate the range of displacement values across all candidates. The range is determined by subtracting the smallest displacement value from the largest displacement value.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range must remain below four liters.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engine models are not identical or the displacement range is not below four liters, the workflow should defer decision-making to the Criteria 3 service by sending the three candidate configurations.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checks pass, the first-ranked configuration becomes the selected configuration.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selected configuration to retrieve engine model, displacement liters, certification level, market application, engine type, and fuel system type and update the part record identified by the request uuid.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