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contains three design configurations that require validation before engine attributes can be copied to the part.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candidate, obtain engine model and displacement liters from the configuration entity.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 engine model values should be compared. Automatic processing is only permitted when all three values are the same.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displacement values should then be evaluated by determining the difference between the largest and smallest values.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difference of less than four liters indicates that the configurations are sufficiently similar.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of these requirements should result in invocation of the Criteria 3 service using the three candidate configurations.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requirements are satisfied, select the first configuration and retrieve all remaining engine-related attributes from the configuration entity.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target part with those values using the request uuid as the update target.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