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candidate configurations have been shortlisted and require harmonization checks before automatic enrichment can proceed.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engine model and displacement liters for each configuration.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engine model comparison acts as the primary validation. All candidates must share the same engine model.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displacement comparison acts as the secondary validation. Calculate the difference between the highest and lowest displacement values.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difference remains below four liters, the candidates are considered harmonized.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of either validation requires escalation to the Criteria 3 service.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 completion of both validations allows the first-ranked configuration to be selected.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selected configuration should then provide engine model, displacement liters, certification level, market application, engine type, and fuel system type for updating the target part.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