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populate part attributes using configuration information while ensuring that the candidate configurations are sufficiently consistent.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contains three design configurations. For each configuration retrieve engine model and displacement liters.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that all engine models are identical.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that the displacement difference between the largest and smallest candidate remains below four liters.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condition fails, invoke the Criteria 3 service and provide the three candidate configurations.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conditions pass, use the highest-ranked configuration as the authoritative source of configuration attributes.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required engine-related fields from that configuration and update the part identified by the request uuid.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