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Begin by examining the three candidate configurations provided in the request.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Retrieve engine model and displacement liters for each candidate.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Compare the engine models. Any mismatch indicates that the candidates are not sufficiently aligned.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Calculate the displacement range across all three candidates. The range must remain under four liters.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Configurations failing either validation require additional analysis through the Criteria 3 service.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Configurations passing both validations allow the process to continue automatically.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first-ranked configuration should then be selected and used to retrieve engine model, displacement liters, certification level, market application, engine type, and fuel system type.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Update the target part using those attributes and the request uuid.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