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Fetch top 3 design_config_num from request data.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2.For each of the design_config_num , fetch engine_model and displacement_liters from configuration entity by mapping design_config_num  with the code of the configuration entity.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If fetched engine_model values are equal and the difference between fetched displacement liters is less than 4 proceed </w:t>
      </w:r>
      <w:r w:rsidDel="00000000" w:rsidR="00000000" w:rsidRPr="00000000">
        <w:rPr>
          <w:b w:val="1"/>
          <w:bCs w:val="1"/>
          <w:rtl w:val="0"/>
        </w:rPr>
        <w:t xml:space="preserve">Otherwise trigger Criteria 3 service by sending top 3 design_config_num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4.Consider Top1 as design_config_num value and map it with code  in configuration entity and fetch  engine_model, displacement_liters, certification_level, market_application, engine_type, and fuel_system_type from  configuration entity and update them in part entity. Add uuid in the response from the request data.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