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pricing consultant and business analyst, I will describe the workflow for managing supplier ratings and performance thresholds.</w:t>
      </w:r>
    </w:p>
    <w:p/>
    <w:p>
      <w:r>
        <w:t>When a request is received containing a supplier_code, the system retrieves relevant information from its database. This includes supplier details such as their rating, region, and total orders associated with them. The retrieved supplier region is then used to fetch region-specific performance thresholds from our database management system.</w:t>
      </w:r>
    </w:p>
    <w:p/>
    <w:p>
      <w:r>
        <w:t>Once we have all the necessary information, we evaluate whether each supplier qualifies for a preferred supplier designation based on pre-defined criteria. Our goal here is to ensure that only suppliers who consistently meet or exceed certain standards are recognized as preferred providers. A supplier qualifies if their rating meets or exceeds a minimum threshold and their total number of orders surpasses a specified threshold.</w:t>
      </w:r>
    </w:p>
    <w:p/>
    <w:p>
      <w:r>
        <w:t>If an evaluation results in a qualified supplier, we update the matching threshold record to reflect the supplier's most recent rating and order totals, ensuring that this information remains up-to-date for future reference purposes.</w:t>
      </w:r>
    </w:p>
    <w:p/>
    <w:p>
      <w:r>
        <w:t>On the other hand, if there is no match with our preferred threshold standards, we create new records containing essential details about the unqualified supplier. These include their code, latest evaluation score, region of origin, total number of orders processed through us, and a timestamp indicating when this decision was made.</w:t>
      </w:r>
    </w:p>
    <w:p/>
    <w:p>
      <w:r>
        <w:t>This process continues until all relevant data has been assessed and updated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