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for pricing reviews involves several key steps that are detailed below.</w:t>
      </w:r>
    </w:p>
    <w:p/>
    <w:p>
      <w:r>
        <w:t>A request for a pricing review of a submitted product triggers the process. The initial step is to retrieve all relevant sales transactions associated with the product from our database over the last twelve months. This data will provide valuable insights into how the product has performed across various customer segments and help identify patterns that could impact future pricing decisions.</w:t>
      </w:r>
    </w:p>
    <w:p/>
    <w:p>
      <w:r>
        <w:t>Upon retrieving these transactions, they are then grouped by customer segment. Each segment requires independent evaluation to ensure accurate calculation of performance metrics without mixing results from unrelated segments. This ensures that each group's sales data is handled in its own way, giving us a detailed view of how the product performed within specific customer groups.</w:t>
      </w:r>
    </w:p>
    <w:p/>
    <w:p>
      <w:r>
        <w:t>Next, for each identified customer segment, our system queries the database to extract the current list price and net price associated with the submitted part. The purpose of this step is to derive the realized discount percentage by comparing these two prices. This calculation gives us a clear indication of how much profit we can expect to make from selling this product.</w:t>
      </w:r>
    </w:p>
    <w:p/>
    <w:p>
      <w:r>
        <w:t xml:space="preserve">Subsequently, our system uses the customer segment to determine the pricing guidance applicable to that particular group of customers. By doing so, it ensures adherence to industry standards and recommendations for price adjustments based on specific buyer segments. </w:t>
      </w:r>
    </w:p>
    <w:p/>
    <w:p>
      <w:r>
        <w:t>To confirm whether the realized discount percentage complies with these guidelines or exceeds them above a certain threshold, we implement conditional checks within our system's logic. If the observed discount falls within acceptable limits, an automated record is created to capture compliance information for auditing purposes. This ensures transparency in tracking pricing decisions and their consequences.</w:t>
      </w:r>
    </w:p>
    <w:p/>
    <w:p>
      <w:r>
        <w:t>However, if the observed discount percentage exceeds recommended thresholds, it triggers an update operation on related records within the database. Specifically, we update a record that contains both the part number of the submitted product and its corresponding customer segment details along with the updated observed discount percentage and timestamp of the review process completion.</w:t>
      </w:r>
    </w:p>
    <w:p/>
    <w:p>
      <w:r>
        <w:t xml:space="preserve">Throughout this workflow, service invocations from our core functionality layer are invoked at key points to ensure that business logic is executed accurately. For instance, when necessary calculations or checks require external data retrieval from other parts of the system, we invoke relevant services through API calls or internal function calls. </w:t>
      </w:r>
    </w:p>
    <w:p/>
    <w:p>
      <w:r>
        <w:t>Once the entire evaluation process is complete and no updates need to be made based on new information retrieved during this process, our system completes its analysis by generating a final output containing essential details such as part number, customer segment, realized discount percentage, and timestamp of review completion.</w:t>
      </w:r>
    </w:p>
    <w:p/>
    <w:p>
      <w:r>
        <w:t>At this point, all processing steps have been completed, and there are no further service invocations or updates required. The pricing review workflow thus concludes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