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Submitted Product</w:t>
      </w:r>
    </w:p>
    <w:p/>
    <w:p>
      <w:r>
        <w:t>The process begins by retrieving all sales transactions associated with the submitted product during the last twelve months. The purpose of retrieving these transactions is to understand how the product has performed across different customer segments and to identify patterns that may influence future pricing decisions.</w:t>
      </w:r>
    </w:p>
    <w:p/>
    <w:p>
      <w:r>
        <w:t>To accomplish this, we retrieve a dataset containing all relevant transaction information for each product. This includes the selling price, quantity sold, date of sale, and customer type. Once the data has been retrieved, it is then grouped by customer segment using customer type as our grouping criterion. Each segment is evaluated independently so that performance metrics can be calculated without mixing results from unrelated customer groups.</w:t>
      </w:r>
    </w:p>
    <w:p/>
    <w:p>
      <w:r>
        <w:t>For each customer segment, we calculate a range of key metrics to understand their purchasing behavior and revenue patterns. This includes calculating the total revenue generated by each segment during the relevant period and determining the average selling price for each segment based on its total revenue and quantity sold. We also track the number of transactions made within each segment and discard any customer types where this threshold falls below 50 units to ensure we are only analyzing active segments.</w:t>
      </w:r>
    </w:p>
    <w:p/>
    <w:p>
      <w:r>
        <w:t>With our data analyzed, we then proceed to select the most promising customer type based on the average selling price criteria. The top-performing customer type is identified by comparing average revenues across all relevant customer types to determine which segment has demonstrated the highest potential for revenue growth.</w:t>
      </w:r>
    </w:p>
    <w:p/>
    <w:p>
      <w:r>
        <w:t>Once the winning customer type has been selected, we retrieve additional information related to this specific segment from our database to inform future pricing decisions. This includes retrieving current pricing guidance records, customer segmentation data, and other relevant product details that may impact pricing strategy.</w:t>
      </w:r>
    </w:p>
    <w:p/>
    <w:p>
      <w:r>
        <w:t>Within these retrieved data sets, there are multiple conditions that must be satisfied in order to progress further. If the selected customer type has an average selling price greater than 500, we update the pricing guidance record with this new information. This includes adding the winning customer type, their respective average selling price, total revenue during the relevant period and a review timestamp.</w:t>
      </w:r>
    </w:p>
    <w:p/>
    <w:p>
      <w:r>
        <w:t>However, if the selected customer type's average selling price does not exceed the predetermined threshold of $500, then an alternative pricing optimization process is triggered. In this scenario, we create a new record containing all necessary product details for that particular segment including their respective average selling prices, total revenue generated and a creation date stamp in order to keep track over time as more sales occur.</w:t>
      </w:r>
    </w:p>
    <w:p/>
    <w:p>
      <w:r>
        <w:t>This concludes our review of the submitted product's pricing strategy based on past customer behavior patterns, which allows us to make informed recommendations regarding future pricing actions based off these key insights extracted from historical transactional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