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reviewing pricing for the submitted product involves evaluating historical sales data to inform future pricing decisions. The first step is to retrieve all relevant sales transactions associated with the product over the last twelve months.</w:t>
      </w:r>
    </w:p>
    <w:p/>
    <w:p>
      <w:r>
        <w:t>To initiate this process, we receive a set of input parameters, including the product code and the review timestamp. These inputs are used to filter the sales transactions retrieved from the database. The database contains detailed records for each transaction, including selling price, quantity sold, customer type, and other relevant information.</w:t>
      </w:r>
    </w:p>
    <w:p/>
    <w:p>
      <w:r>
        <w:t>Once the required data has been retrieved, we proceed to group the transactions by customer segment. This is done to ensure that performance metrics can be calculated independently for each customer group without mixing results from unrelated segments. The grouping process involves identifying distinct customer types based on factors such as geographic location, industry classification, or other relevant criteria.</w:t>
      </w:r>
    </w:p>
    <w:p/>
    <w:p>
      <w:r>
        <w:t>For each customer segment, individual records are evaluated to calculate key performance indicators (KPIs). Specifically, we focus on calculating the revenue generated by each product within each segment, as well as the total quantity sold across all products for that segment. These KPIs provide valuable insights into how the product has performed across different customer segments and help identify patterns that may influence future pricing decisions.</w:t>
      </w:r>
    </w:p>
    <w:p/>
    <w:p>
      <w:r>
        <w:t>To calculate these KPIs, we apply a series of complex formulas to the transaction data. For instance, to determine the revenue generated by each product within a particular customer segment, we multiply the selling price of the relevant transactions by the quantity sold. This is done for each product across all segments and provides a comprehensive picture of the revenue performance.</w:t>
      </w:r>
    </w:p>
    <w:p/>
    <w:p>
      <w:r>
        <w:t>Similarly, to calculate the total quantity sold across all products for a given customer segment, we sum up the quantities sold from all applicable transactions. These aggregated values provide essential information about customer purchasing behavior and help inform pricing strategies.</w:t>
      </w:r>
    </w:p>
    <w:p/>
    <w:p>
      <w:r>
        <w:t>Once the KPIs have been calculated for each customer segment, we proceed to determine the average selling price (ASP) for each product within those segments. This is done by dividing the total revenue generated by the transaction data by the corresponding total quantity sold. The ASP provides a critical benchmark for evaluating product performance and identifying areas that require adjustment.</w:t>
      </w:r>
    </w:p>
    <w:p/>
    <w:p>
      <w:r>
        <w:t>Next, we apply a set of filters to the KPIs to discard customer types where the total quantity sold falls below a specified threshold, in this case 50 units. This is done to exclude segments with low demand from consideration, thereby focusing on more relevant and profitable customer groups.</w:t>
      </w:r>
    </w:p>
    <w:p/>
    <w:p>
      <w:r>
        <w:t>From the remaining customer types, we select the one with the highest average selling price (ASP). This selection criteria allows us to identify the most successful product configurations within each segment, providing valuable insights into areas where pricing adjustments are likely to yield the greatest returns.</w:t>
      </w:r>
    </w:p>
    <w:p/>
    <w:p>
      <w:r>
        <w:t>With the selected customer type identified, we then retrieve customer pricing guidance related to that segment. The purpose of this step is to verify whether the product has exceeded or fallen below a predetermined threshold on this metric.</w:t>
      </w:r>
    </w:p>
    <w:p/>
    <w:p>
      <w:r>
        <w:t>The predefined thresholds in question pertain to average selling prices. Specifically, for products with an ASP exceeding 500 units, we update the pricing guidance records by incorporating these values into the existing data structure. Conversely, when the selected customer type features an ASP below the specified limit, we create a new pricing optimization record containing the pertinent information.</w:t>
      </w:r>
    </w:p>
    <w:p/>
    <w:p>
      <w:r>
        <w:t>By following this structured approach, we ensure that pricing decisions are informed by rigorous analysis of historical sales data and relevant industry best practices. This iterative process enables us to refine our pricing strategies over time, maximizing revenue opportunities while maintaining competitive viability in an ever-evolving market landscape.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