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evaluating the most stable pricing configuration begins with the retrieval of all sales transactions associated with the submitted product during the last twelve months. The objective is to understand how the product has performed across different customer segments and identify patterns that may influence future pricing decisions.</w:t>
      </w:r>
    </w:p>
    <w:p/>
    <w:p>
      <w:r>
        <w:t>To accomplish this, we first need to retrieve the relevant data from our system. This involves invoking a service that retrieves all sales transactions for the specified product and date range. Once these transactions have been retrieved, they are grouped by configuration code, which is a unique identifier assigned to each pricing configuration.</w:t>
      </w:r>
    </w:p>
    <w:p/>
    <w:p>
      <w:r>
        <w:t>It's essential to evaluate each segment independently to ensure accurate performance metrics can be calculated without mixing results from unrelated customer groups. For this reason, we will process the records in batches based on their configuration codes. The service invocation includes retrieving all necessary data fields for each transaction, including configuration code, selling price, and quantity sold.</w:t>
      </w:r>
    </w:p>
    <w:p/>
    <w:p>
      <w:r>
        <w:t>Once the transactions have been grouped by configuration code, calculations are performed to determine performance metrics for each configuration. These include average selling price, highest selling price, and lowest selling price. To calculate these values accurately, we will invoke another service that provides access to historical pricing data and quantities sold.</w:t>
      </w:r>
    </w:p>
    <w:p/>
    <w:p>
      <w:r>
        <w:t>The purpose of these calculations is to assess the overall stability of each pricing configuration. Specifically, a metric called 'price variance' is calculated as the difference between the highest and lowest selling prices for each configuration. Configurations with a price variance exceeding 100 are deemed unstable and discarded from further evaluation.</w:t>
      </w:r>
    </w:p>
    <w:p/>
    <w:p>
      <w:r>
        <w:t>Next, we will select the configuration that still remains after applying this filtering criterion. The decision to select one configuration over another is based solely on its average selling price. By doing so, we can identify the most stable pricing configuration for the product.</w:t>
      </w:r>
    </w:p>
    <w:p/>
    <w:p>
      <w:r>
        <w:t>Following the selection of the final configuration, we need to retrieve the specific details related to this configuration from our system. This involves invoking a service that provides access to pricing configuration records and retrieving relevant data fields such as the average selling price, price variance, and recommendation status.</w:t>
      </w:r>
    </w:p>
    <w:p/>
    <w:p>
      <w:r>
        <w:t>If the selected configuration has an average selling price greater than 1000, an update operation is triggered to update the corresponding pricing configuration record in our system. The update includes updating the following fields: average selling price, price variance, and a new field called 'recommendation status' with a value of 'PREMIUM'.</w:t>
      </w:r>
    </w:p>
    <w:p/>
    <w:p>
      <w:r>
        <w:t>On the other hand, if the selected configuration has an average selling price less than or equal to 1000, we create a pricing recommendation record containing data related to this configuration. The fields included in the recommendation record are product code, selected configuration, average selling price, price variance, recommendation status, and review timestamp.</w:t>
      </w:r>
    </w:p>
    <w:p/>
    <w:p>
      <w:r>
        <w:t>Once all necessary updates have been completed, our process stops. If any part of the process is interrupted or fails, we will need to re-execute that step to ensure accuracy and consistency. The system provides a mechanism for triggering multiple services in sequence based on user inputs, thereby enabling automated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