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the stability of pricing configurations begins by retrieving all sales transactions associated with the submitted product during the last twelve months. This information is critical in understanding how the product has performed across different customer segments and identifying patterns that may influence future pricing decisions.</w:t>
      </w:r>
    </w:p>
    <w:p/>
    <w:p>
      <w:r>
        <w:t>Upon receipt of the transactions, the next step involves retrieving the necessary fields from each transaction record, specifically configuration_code, selling_price, and quantity_sold. The purpose of gathering these specific field values is to enable the calculation of relevant performance metrics for each transaction.</w:t>
      </w:r>
    </w:p>
    <w:p/>
    <w:p>
      <w:r>
        <w:t>Following the retrieval of all required data, the records are grouped by configuration_code, which enables independent evaluation of performance metrics without intermixing results from unrelated customer groups. This grouping ensures that calculations can be accurately performed for each configuration.</w:t>
      </w:r>
    </w:p>
    <w:p/>
    <w:p>
      <w:r>
        <w:t>Upon grouping of the transactions by configuration_code, the next step is to calculate average selling price, highest selling price, and lowest selling price for each configuration. The purpose of these calculations is to establish a baseline against which future pricing decisions can be made.</w:t>
      </w:r>
    </w:p>
    <w:p/>
    <w:p>
      <w:r>
        <w:t>The calculation of price_variance, which represents the difference between the highest and lowest selling prices, is also critical in determining the stability of each pricing configuration. This calculation provides insight into the variability within each configuration and helps to identify potential issues that may impact pricing decisions.</w:t>
      </w:r>
    </w:p>
    <w:p/>
    <w:p>
      <w:r>
        <w:t>To ensure accuracy and reliability, configurations are discarded where the price_variance exceeds 100. These configurations may be deemed unstable due to extreme variations between their highest and lowest selling prices.</w:t>
      </w:r>
    </w:p>
    <w:p/>
    <w:p>
      <w:r>
        <w:t>The remaining configurations are then evaluated based on their average selling price, with the configuration having the highest average selling price selected as the primary basis for future pricing decisions. The selection of this specific configuration is critical in determining the stability of the pricing configuration and ensuring that future recommendations are grounded in data-driven insights.</w:t>
      </w:r>
    </w:p>
    <w:p/>
    <w:p>
      <w:r>
        <w:t>Upon selecting a configuration, the next step involves retrieving detailed information about the selected pricing configuration, specifically its average selling price, price variance, and other relevant metrics.</w:t>
      </w:r>
    </w:p>
    <w:p/>
    <w:p>
      <w:r>
        <w:t>If the selected configuration has an average selling price greater than 1000, the pricing configuration record is updated with these values. Furthermore, a review timestamp is added to the update to reflect the date on which the changes were made. This ensures that all records are accurately dated and versioned, providing a clear audit trail of changes.</w:t>
      </w:r>
    </w:p>
    <w:p/>
    <w:p>
      <w:r>
        <w:t>If the selected configuration has an average selling price less than or equal to 1000, a new pricing recommendation record is created containing relevant information about the selected configuration, including its product code, configuration details, average selling price, price variance, and recommendation status. The recommendation status for this record is set as STANDARD.</w:t>
      </w:r>
    </w:p>
    <w:p/>
    <w:p>
      <w:r>
        <w:t>In both scenarios, it's essential to update records immediately after processing to maintain data integrity and reflect changes made during the evaluation process. This ensures that all relevant stakeholders have access to accurate and up-to-date information when making pricing decisions.</w:t>
      </w:r>
    </w:p>
    <w:p/>
    <w:p>
      <w:r>
        <w:t>The evaluation of pricing configurations has concluded at this point, with records updated or created based on the outcome of the analysis. Further processing may occur if multiple products require evaluation simultaneously; however, the basic steps outlined above provide a solid foundation for evaluating pricing stability across different product configurations.</w:t>
      </w:r>
    </w:p>
    <w:p/>
    <w:p>
      <w:r>
        <w:t>Ultimately, the goal of this process is to identify the most stable pricing configuration before recommending a price increase, ensuring that future recommendations are informed by data-driven insights and grounded in a thorough understanding of how each product has performed across various customer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