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the receipt of information from the sales team, who provide a list of all submitted products, along with any relevant documentation or comments. This information is then used to trigger a pricing review for each product.</w:t>
      </w:r>
    </w:p>
    <w:p/>
    <w:p>
      <w:r>
        <w:t>As part of this review, we need to retrieve all sales transactions associated with each product during the last twelve months. These transactions are crucial in understanding how the product has performed across different customer segments and identifying patterns that may influence future pricing decisions.</w:t>
      </w:r>
    </w:p>
    <w:p/>
    <w:p>
      <w:r>
        <w:t>Once the transactions have been retrieved, the records are grouped by customer segment to ensure that performance metrics can be calculated without mixing results from unrelated customer groups. This is done to provide a clear and accurate picture of the product's performance in each segment.</w:t>
      </w:r>
    </w:p>
    <w:p/>
    <w:p>
      <w:r>
        <w:t>Next, we evaluate each transaction individually using a set of predefined criteria. For each transaction, we obtain three key pieces of information: configuration code, selling price, and quantity sold. These values are then used to calculate average selling prices for different configurations.</w:t>
      </w:r>
    </w:p>
    <w:p/>
    <w:p>
      <w:r>
        <w:t>The calculations involved are as follows:</w:t>
      </w:r>
    </w:p>
    <w:p/>
    <w:p>
      <w:r>
        <w:t>* Average selling price = (selling price x quantity sold) / total quantity sold</w:t>
      </w:r>
    </w:p>
    <w:p>
      <w:r>
        <w:t>* Highest selling price = MAX(selling price)</w:t>
      </w:r>
    </w:p>
    <w:p>
      <w:r>
        <w:t>* Lowest selling price = MIN(selling price)</w:t>
      </w:r>
    </w:p>
    <w:p/>
    <w:p>
      <w:r>
        <w:t>We group these transactions by configuration code to determine the performance of each configuration. For each configuration, we calculate three key metrics: average selling price, highest selling price, and lowest selling price.</w:t>
      </w:r>
    </w:p>
    <w:p/>
    <w:p>
      <w:r>
        <w:t>The next step is to discard any configurations where the difference between the highest and lowest selling prices (price_variance) exceeds 100. This threshold helps us identify configurations that are performing significantly better or worse than others.</w:t>
      </w:r>
    </w:p>
    <w:p/>
    <w:p>
      <w:r>
        <w:t>From the remaining configurations, we select the one with the highest average selling price. This configuration is then used as the basis for our pricing recommendation.</w:t>
      </w:r>
    </w:p>
    <w:p/>
    <w:p>
      <w:r>
        <w:t>We retrieve the pricing configuration details for this selected configuration and check if its average selling price exceeds 1000. If it does, we update the pricing configuration record with the relevant information, including:</w:t>
      </w:r>
    </w:p>
    <w:p/>
    <w:p>
      <w:r>
        <w:t>* Average selling price</w:t>
      </w:r>
    </w:p>
    <w:p>
      <w:r>
        <w:t>* Price variance</w:t>
      </w:r>
    </w:p>
    <w:p>
      <w:r>
        <w:t>* Recommendation status = PREMIUM</w:t>
      </w:r>
    </w:p>
    <w:p>
      <w:r>
        <w:t>* Review timestamp</w:t>
      </w:r>
    </w:p>
    <w:p/>
    <w:p>
      <w:r>
        <w:t>On the other hand, if the average selling price is less than or equal to 1000, we create a new pricing recommendation record containing the following information:</w:t>
      </w:r>
    </w:p>
    <w:p/>
    <w:p>
      <w:r>
        <w:t>* Product code</w:t>
      </w:r>
    </w:p>
    <w:p>
      <w:r>
        <w:t>* Selected configuration</w:t>
      </w:r>
    </w:p>
    <w:p>
      <w:r>
        <w:t>* Average selling price</w:t>
      </w:r>
    </w:p>
    <w:p>
      <w:r>
        <w:t>* Price variance</w:t>
      </w:r>
    </w:p>
    <w:p>
      <w:r>
        <w:t>* Recommendation status = STANDARD</w:t>
      </w:r>
    </w:p>
    <w:p>
      <w:r>
        <w:t>* Review timestamp</w:t>
      </w:r>
    </w:p>
    <w:p/>
    <w:p>
      <w:r>
        <w:t>This process continues for each product, and the results are used to inform our pricing decisions. We can now stop this process and proceed with updating or creating pricing recommendations based on the outcomes of these evaluations.</w:t>
      </w:r>
    </w:p>
    <w:p/>
    <w:p>
      <w:r>
        <w:t>The next step involves triggering a review service that will take these pricing recommendations into account and update our databases accordingly. This may involve contacting customers, suppliers, or other stakeholders to discuss the implications of our pricing decisions.</w:t>
      </w:r>
    </w:p>
    <w:p/>
    <w:p>
      <w:r>
        <w:t>Once the review is complete, we can stop this process and proceed with implementing the agreed-upon pricing strategy for each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