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pricing configurations begins by retrieving all sales transactions associated with the submitted product during the last twelve months. The purpose of this step is to understand how the product has performed across different customer segments and to identify patterns that may influence future pricing decisions.</w:t>
      </w:r>
    </w:p>
    <w:p/>
    <w:p>
      <w:r>
        <w:t>Once these transactions have been retrieved, they are processed in a way that groups them by configuration code. Each segment is evaluated independently so that performance metrics can be calculated without mixing results from unrelated customer groups. This ensures that the analysis remains focused on the specific configurations being considered for price adjustments or recommendations.</w:t>
      </w:r>
    </w:p>
    <w:p/>
    <w:p>
      <w:r>
        <w:t>To calculate key metrics for each configuration, the records are further analyzed to obtain configuration_code, selling_price, and quantity_sold for each transaction. These values serve as input data for subsequent calculations.</w:t>
      </w:r>
    </w:p>
    <w:p/>
    <w:p>
      <w:r>
        <w:t>One of the primary metrics calculated is average selling price (ASP) across all transactions within a given configuration. However, it's also necessary to identify the highest and lowest selling prices for each configuration. The ASP allows for a more holistic view of product performance, while the extreme prices provide context on how pricing variations impact overall demand.</w:t>
      </w:r>
    </w:p>
    <w:p/>
    <w:p>
      <w:r>
        <w:t>Next, a critical calculation is performed: calculating price_variance, which equals the difference between the highest and lowest selling prices within a configuration. This step discards configurations where this price variance exceeds 100. By doing so, only those configurations with stable or controlled price points are considered for further evaluation.</w:t>
      </w:r>
    </w:p>
    <w:p/>
    <w:p>
      <w:r>
        <w:t xml:space="preserve">From the remaining configurations, the one with the highest average selling price is selected as the most representative of its group's performance. The analysis then proceeds to retrieve pricing configuration details for this selected configuration. </w:t>
      </w:r>
    </w:p>
    <w:p/>
    <w:p>
      <w:r>
        <w:t>If the selected configuration has an average selling price greater than 1000, a primary update operation takes place. In this case, the pricing configuration record associated with the selected configuration is updated with the following values:</w:t>
      </w:r>
    </w:p>
    <w:p>
      <w:r>
        <w:t>- average selling price</w:t>
      </w:r>
    </w:p>
    <w:p>
      <w:r>
        <w:t>- price variance calculated earlier</w:t>
      </w:r>
    </w:p>
    <w:p>
      <w:r>
        <w:t>- recommendation status set to PREMIUM indicating a high-performing configuration</w:t>
      </w:r>
    </w:p>
    <w:p/>
    <w:p>
      <w:r>
        <w:t>On the other hand, if the average selling price falls below 1000, an alternative update or creation process follows. Specifically, a pricing recommendation record containing the product code, selected configuration, ASP, price variance, and recommendation status set to STANDARD (indicating a standard-priced configuration) is created and saved.</w:t>
      </w:r>
    </w:p>
    <w:p/>
    <w:p>
      <w:r>
        <w:t>This dual approach allows for flexibility in handling varying levels of performance data from different configurations, providing actionable insights to support informed pricing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