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identifying which market should receive the next price increase recommendation involves several steps. The first step is to retrieve all sales transactions associated with the submitted product across all markets during the last twelve months. This data is essential for understanding how the product has performed across different customer segments and to identify patterns that may influence future pricing decisions.</w:t>
      </w:r>
    </w:p>
    <w:p/>
    <w:p>
      <w:r>
        <w:t>Upon retrieving the transactions, it becomes necessary to group them by market code. Each segment must be evaluated independently so that performance metrics can be calculated without mixing results from unrelated customer groups. The grouping of transactions will enable us to calculate total revenue, total quantity sold, and total cost for each market, which are crucial in determining the profit margin percentage.</w:t>
      </w:r>
    </w:p>
    <w:p/>
    <w:p>
      <w:r>
        <w:t>The next step is to calculate the profit, average selling price, and profit margin percentage for each market. To do this, we need to subtract the total cost from the total revenue to obtain the profit. Then, by dividing the total revenue by the total quantity sold, we can determine the average selling price. Finally, by taking 100% of the profit and then dividing it by the total revenue, we can calculate the profit margin percentage.</w:t>
      </w:r>
    </w:p>
    <w:p/>
    <w:p>
      <w:r>
        <w:t>However, not all markets will be eligible for a price increase recommendation based on their performance. To identify which markets fall under this criterion, we need to discard those with a profit margin percentage below 10%. This means that any market whose profit margin percentage is less than 10% should be excluded from further evaluation and consideration.</w:t>
      </w:r>
    </w:p>
    <w:p/>
    <w:p>
      <w:r>
        <w:t>The remaining markets are then ranked in two specific ways: first by the profit margin percentage descending order, and second by the total revenue descending order. The ranking of these markets will allow us to identify which ones are performing exceptionally well and would benefit from a price increase recommendation.</w:t>
      </w:r>
    </w:p>
    <w:p/>
    <w:p>
      <w:r>
        <w:t>After ranking the markets based on these criteria, we must select the top-ranked market. This is because only this market has demonstrated sufficient performance to warrant a price increase recommendation.</w:t>
      </w:r>
    </w:p>
    <w:p/>
    <w:p>
      <w:r>
        <w:t>Once the top-ranked market has been identified, it becomes necessary to retrieve its pricing strategy for further review. If the profit margin percentage of this selected market exceeds 25%, then an update to the pricing strategy will be triggered with information including the selected market, the profit margin percentage, the total revenue, and a recommendation of PRICE_INCREASE.</w:t>
      </w:r>
    </w:p>
    <w:p/>
    <w:p>
      <w:r>
        <w:t>However, if the profit margin percentage of the top-ranked market does not exceed 25%, then a record must be created for a market pricing opportunity. This record will contain information such as the product code, the selected market, the profit margin percentage, the total revenue, and a recommendation of MONITOR. The review timestamp is also essential to track when the record was last updated.</w:t>
      </w:r>
    </w:p>
    <w:p/>
    <w:p>
      <w:r>
        <w:t>In conclusion, this process for identifying which market should receive the next price increase recommendation involves retrieving sales transactions associated with the submitted product across all markets during the last twelve months, grouping these transactions by market code, calculating performance metrics, discarding ineligible markets based on a minimum profit margin percentage threshold, ranking eligible markets in two specified orders to determine the top performer, and triggering updates or creating records for each of these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