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process for evaluating pricing opportunities begins by retrieving all sales transactions associated with the submitted product during the last twelve months. This step is crucial in understanding how the product has performed across different customer segments and identifying patterns that may influence future pricing decisions.</w:t>
      </w:r>
    </w:p>
    <w:p/>
    <w:p>
      <w:r>
        <w:t>Upon receiving these transactions, we group them by customer segment to ensure that performance metrics can be calculated independently without mixing results from unrelated customer groups. Each segment is evaluated separately to capture any anomalies or trends specific to its market conditions.</w:t>
      </w:r>
    </w:p>
    <w:p/>
    <w:p>
      <w:r>
        <w:t>Next, we calculate the key performance indicators for each segment, including revenue, quantity sold, and cost. These metrics are essential in determining the overall profitability of the product within each segment. We then use these values to calculate the profit, which is a critical component in our pricing evaluation process.</w:t>
      </w:r>
    </w:p>
    <w:p/>
    <w:p>
      <w:r>
        <w:t>To derive the average selling price, we divide the total revenue by the total quantity sold. This calculation provides valuable insights into the market dynamics and helps us determine the optimal pricing strategy for each segment.</w:t>
      </w:r>
    </w:p>
    <w:p/>
    <w:p>
      <w:r>
        <w:t>Another crucial metric calculated during this stage is the profit margin percentage. We achieve this by subtracting the total cost from the total revenue and then dividing the result by the total revenue, finally multiplying it by 100 to obtain a percentage value.</w:t>
      </w:r>
    </w:p>
    <w:p/>
    <w:p>
      <w:r>
        <w:t>Our decision-making process involves evaluating markets based on their performance metrics. We discard any market with a profit margin percentage below 10, as these do not meet our predetermined threshold for pricing opportunities. This step ensures that we focus on segments with demonstrated potential for price adjustments.</w:t>
      </w:r>
    </w:p>
    <w:p/>
    <w:p>
      <w:r>
        <w:t>We then rank the remaining markets according to two criteria: profit margin percentage descending and total revenue descending. The highest-ranked market is selected based on these parameters, and we proceed to retrieve its pricing strategy.</w:t>
      </w:r>
    </w:p>
    <w:p/>
    <w:p>
      <w:r>
        <w:t>Upon reviewing the pricing strategy for the selected market, we check if the profit margin percentage exceeds 25. If it does, we update the market's pricing strategy by incorporating relevant information such as the selected market, profit margin percentage, total revenue, and a recommendation for price increase or review timestamp.</w:t>
      </w:r>
    </w:p>
    <w:p/>
    <w:p>
      <w:r>
        <w:t>However, if the profit margin percentage falls short of this threshold, we create a market pricing opportunity record containing essential details like product code, selected market, profit margin percentage, total revenue, and a recommendation for monitoring. These records enable us to track markets with potential for future price adjustments and monitor their progress accordingly.</w:t>
      </w:r>
    </w:p>
    <w:p/>
    <w:p>
      <w:r>
        <w:t>Finally, once all necessary operations are complete, our process concludes, having successfully evaluated the pricing opportunities for the submitted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