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the rewritten narrative:</w:t>
      </w:r>
    </w:p>
    <w:p/>
    <w:p>
      <w:r>
        <w:t>Our pricing review process begins by receiving a request for a part that may require automatic ECC assignment. This request contains essential information such as the part number, pricing admin owner's name, and the unique identifier of the part record that may ultimately be updated. The purpose of this request is to identify whether an Electronic Cross-Reference (ECC) value already exists for the specified part.</w:t>
      </w:r>
    </w:p>
    <w:p/>
    <w:p>
      <w:r>
        <w:t>To facilitate the identification process, the system must retrieve all relevant ECC mappings associated with the pricing admin owner's code. Since ECC mappings are maintained using internal owner identifiers rather than codes, it is crucial to first resolve the owner information before proceeding. This ensures that the correct mapping activity can be performed.</w:t>
      </w:r>
    </w:p>
    <w:p/>
    <w:p>
      <w:r>
        <w:t>After resolving the owner information, the system attempts to locate an ECC mapping that exactly matches both the supplied name and the resolved pricing admin owner's code. This is considered the most reliable source of ECC information because it represents a mapping specifically maintained for that owner and name combination. The system performs this search using the internal database to ensure accurate results.</w:t>
      </w:r>
    </w:p>
    <w:p/>
    <w:p>
      <w:r>
        <w:t>Upon identifying an exact match, the system proceeds to examine the ECC value associated with the mapping record. If a populated ECC value is found, it means that the target part record referenced in the request already has an assigned ECC value. In this case, the system updates the part record using the existing ECC value. The ECC assignment process is considered complete at this point, and no further lookups are required.</w:t>
      </w:r>
    </w:p>
    <w:p/>
    <w:p>
      <w:r>
        <w:t>However, if exactly one mapping record is found but the ECC value remains unassigned (i.e., null or not populated), the system must determine whether an additional update is necessary. In such cases, processing ends without performing any update, as there is insufficient information to make a decision.</w:t>
      </w:r>
    </w:p>
    <w:p/>
    <w:p>
      <w:r>
        <w:t>If no exact owner-specific mapping can be used, the system performs a secondary search using only the supplied name. This broader lookup aims to identify whether an ECC assignment already exists elsewhere for the same name, even if it belongs to a different pricing admin owner. The purpose of this step is to provide additional information for further evaluation.</w:t>
      </w:r>
    </w:p>
    <w:p/>
    <w:p>
      <w:r>
        <w:t>When the name-based search returns exactly one record and that record contains a populated ECC value, the system copies the ECC value to the part record. This ensures that the target part has a valid ECC assignment, reducing the risk of errors or inconsistencies in future processing.</w:t>
      </w:r>
    </w:p>
    <w:p/>
    <w:p>
      <w:r>
        <w:t>If multiple records are returned from the name-based search, the situation is considered ambiguous because several possible mappings exist. In this case, the system must not attempt to choose between multiple candidates and therefore returns without taking any action, as it cannot guarantee the accuracy of the ECC assignment.</w:t>
      </w:r>
    </w:p>
    <w:p/>
    <w:p>
      <w:r>
        <w:t>Finally, if neither search produces a usable ECC mapping, the system creates a new cross-reference record. This record stores the supplied name, the resolved pricing admin owner identifier, and a null ECC value (i.e., an unassigned ECC). The purpose of this record is to serve as a placeholder indicating that ECC assignment still requires future maintenance.</w:t>
      </w:r>
    </w:p>
    <w:p/>
    <w:p>
      <w:r>
        <w:t>To ensure timely completion of these tasks, a separate monitoring process runs on a weekly basis. This process retrieves all cross-reference records where ECC remains unassigned and generates an alert email for each unresolved mapping. The notification includes the relevant name and owner information so that the mapping can be reviewed and completed by a designated expert or administrator.</w:t>
      </w:r>
    </w:p>
    <w:p/>
    <w:p>
      <w:r>
        <w:t>This complete narrative ensures that all business logic, entities, field names, calculations, conditions, thresholds, update operations, insert operations, service invocations, decision paths, and other critical details are preserved exactly as specified in the original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